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0A01E">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关于《南京江北新区“十四五”农业农村现代化规划》的政策解读</w:t>
      </w:r>
    </w:p>
    <w:p w14:paraId="5511EA5F">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_GBK" w:cs="Times New Roman"/>
          <w:sz w:val="44"/>
          <w:szCs w:val="44"/>
          <w:lang w:val="en-US" w:eastAsia="zh-CN"/>
        </w:rPr>
      </w:pPr>
    </w:p>
    <w:p w14:paraId="53A3E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《南京江北新区“十四五”农业农村现代化规划》（以下简称规划）已于2022年1月24日印发施行，为便于《规划》精神贯彻落实，现就《规划》作如下政策解读。</w:t>
      </w:r>
    </w:p>
    <w:p w14:paraId="38258CE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《规划》共分八章：</w:t>
      </w:r>
      <w:r>
        <w:rPr>
          <w:rFonts w:hint="default" w:ascii="Times New Roman" w:hAnsi="Times New Roman" w:eastAsia="方正仿宋_GBK" w:cs="Times New Roman"/>
          <w:kern w:val="2"/>
          <w:sz w:val="32"/>
          <w:szCs w:val="32"/>
          <w:lang w:val="en-US" w:eastAsia="zh-CN" w:bidi="ar-SA"/>
        </w:rPr>
        <w:t>发展基础与形势分析</w:t>
      </w:r>
      <w:r>
        <w:rPr>
          <w:rFonts w:hint="eastAsia" w:ascii="Times New Roman" w:hAnsi="Times New Roman" w:eastAsia="方正仿宋_GBK" w:cs="Times New Roman"/>
          <w:kern w:val="2"/>
          <w:sz w:val="32"/>
          <w:szCs w:val="32"/>
          <w:lang w:val="en-US" w:eastAsia="zh-CN" w:bidi="ar-SA"/>
        </w:rPr>
        <w:t>、总体要求、全面推进都市现代农业高质量发展、全面开展乡村建设行动、全面提升乡村治理和乡风文明水平、全面提升农民获得感幸福感、全面深化城乡融合及农村改革、规划保障措施。主要阐明“十四五”时期江北新区农业农村发展的总体思路、主要目标和重点任务，是指导江北新区各部门各街道全面实施乡村振兴战略、推进农业农村现代化的重要依据。</w:t>
      </w:r>
    </w:p>
    <w:p w14:paraId="53A689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规划背景分析</w:t>
      </w:r>
    </w:p>
    <w:p w14:paraId="217C6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sz w:val="32"/>
          <w:szCs w:val="32"/>
          <w:lang w:val="en-US" w:eastAsia="zh-CN"/>
        </w:rPr>
        <w:t>（一）江北新区农业农村现状。</w:t>
      </w:r>
      <w:r>
        <w:rPr>
          <w:rFonts w:hint="default" w:ascii="Times New Roman" w:hAnsi="Times New Roman" w:eastAsia="方正仿宋_GBK" w:cs="Times New Roman"/>
          <w:kern w:val="2"/>
          <w:sz w:val="32"/>
          <w:szCs w:val="32"/>
          <w:lang w:val="en-US" w:eastAsia="zh-CN" w:bidi="ar-SA"/>
        </w:rPr>
        <w:t>江北新区共有7个街道43个涉农社区，城乡融合发展态势明显，二三产业高度发达，乡村发展空间逐步形成。新区农业发展，除提供优质的农产品外，还为新区提供生态涵养、休闲体验、科普教育等功能空间，农业转型升级加快发展。对现状347个自然村庄合理规划，村庄建设布局稳步推进。多方举措大幅提升村容村貌，农村人居环境显著提升。</w:t>
      </w:r>
      <w:r>
        <w:rPr>
          <w:rFonts w:hint="eastAsia" w:ascii="Times New Roman" w:hAnsi="Times New Roman" w:eastAsia="方正仿宋_GBK" w:cs="Times New Roman"/>
          <w:kern w:val="2"/>
          <w:sz w:val="32"/>
          <w:szCs w:val="32"/>
          <w:lang w:val="en-US" w:eastAsia="zh-CN" w:bidi="ar-SA"/>
        </w:rPr>
        <w:t>推进</w:t>
      </w:r>
      <w:r>
        <w:rPr>
          <w:rFonts w:hint="default" w:ascii="Times New Roman" w:hAnsi="Times New Roman" w:eastAsia="方正仿宋_GBK" w:cs="Times New Roman"/>
          <w:kern w:val="2"/>
          <w:sz w:val="32"/>
          <w:szCs w:val="32"/>
          <w:lang w:val="en-US" w:eastAsia="zh-CN" w:bidi="ar-SA"/>
        </w:rPr>
        <w:t>农村集体产权制度改革，农村综合改革持续开展。</w:t>
      </w:r>
    </w:p>
    <w:p w14:paraId="27B1DED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（二）农业农村发展</w:t>
      </w:r>
      <w:r>
        <w:rPr>
          <w:rFonts w:hint="eastAsia" w:ascii="方正楷体_GBK" w:hAnsi="方正楷体_GBK" w:eastAsia="方正楷体_GBK" w:cs="方正楷体_GBK"/>
          <w:kern w:val="2"/>
          <w:sz w:val="32"/>
          <w:szCs w:val="32"/>
          <w:u w:val="thick" w:color="FF00FF"/>
          <w:lang w:val="en-US" w:eastAsia="zh-CN" w:bidi="ar-SA"/>
        </w:rPr>
        <w:t>形势</w:t>
      </w:r>
      <w:r>
        <w:rPr>
          <w:rFonts w:hint="default" w:ascii="方正楷体_GBK" w:hAnsi="方正楷体_GBK" w:eastAsia="方正楷体_GBK" w:cs="方正楷体_GBK"/>
          <w:kern w:val="2"/>
          <w:sz w:val="32"/>
          <w:szCs w:val="32"/>
          <w:lang w:val="en-US" w:eastAsia="zh-CN" w:bidi="ar-SA"/>
        </w:rPr>
        <w:t>分析</w:t>
      </w:r>
    </w:p>
    <w:p w14:paraId="35E4D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bookmarkStart w:id="0" w:name="FunCunProofread5003"/>
      <w:r>
        <w:rPr>
          <w:rFonts w:hint="default" w:ascii="Times New Roman" w:hAnsi="Times New Roman" w:eastAsia="方正仿宋_GBK" w:cs="Times New Roman"/>
          <w:kern w:val="2"/>
          <w:sz w:val="32"/>
          <w:szCs w:val="32"/>
          <w:u w:val="none" w:color="FFFFFF"/>
          <w:shd w:val="clear"/>
          <w:lang w:val="en-US" w:eastAsia="zh-CN" w:bidi="ar-SA"/>
        </w:rPr>
        <w:t>新时期</w:t>
      </w:r>
      <w:bookmarkEnd w:id="0"/>
      <w:r>
        <w:rPr>
          <w:rFonts w:hint="default" w:ascii="Times New Roman" w:hAnsi="Times New Roman" w:eastAsia="方正仿宋_GBK" w:cs="Times New Roman"/>
          <w:kern w:val="2"/>
          <w:sz w:val="32"/>
          <w:szCs w:val="32"/>
          <w:lang w:val="en-US" w:eastAsia="zh-CN" w:bidi="ar-SA"/>
        </w:rPr>
        <w:t>下，江北新区农业农村发展面临新的发展形势。</w:t>
      </w:r>
      <w:r>
        <w:rPr>
          <w:rFonts w:hint="default" w:ascii="Times New Roman" w:hAnsi="Times New Roman" w:eastAsia="方正仿宋_GBK" w:cs="Times New Roman"/>
          <w:color w:val="auto"/>
          <w:sz w:val="32"/>
          <w:szCs w:val="32"/>
          <w:highlight w:val="none"/>
        </w:rPr>
        <w:t>从</w:t>
      </w:r>
      <w:r>
        <w:rPr>
          <w:rFonts w:hint="default" w:ascii="Times New Roman" w:hAnsi="Times New Roman" w:eastAsia="方正仿宋_GBK" w:cs="Times New Roman"/>
          <w:color w:val="auto"/>
          <w:sz w:val="32"/>
          <w:szCs w:val="32"/>
          <w:highlight w:val="none"/>
          <w:lang w:val="en-US" w:eastAsia="zh-CN"/>
        </w:rPr>
        <w:t>全球来</w:t>
      </w:r>
      <w:r>
        <w:rPr>
          <w:rFonts w:hint="default" w:ascii="Times New Roman" w:hAnsi="Times New Roman" w:eastAsia="方正仿宋_GBK" w:cs="Times New Roman"/>
          <w:color w:val="auto"/>
          <w:sz w:val="32"/>
          <w:szCs w:val="32"/>
          <w:highlight w:val="none"/>
        </w:rPr>
        <w:t>看，“国内大循环为主体、国内国际双循环”</w:t>
      </w:r>
      <w:r>
        <w:rPr>
          <w:rFonts w:hint="eastAsia" w:ascii="Times New Roman" w:hAnsi="Times New Roman" w:eastAsia="方正仿宋_GBK" w:cs="Times New Roman"/>
          <w:color w:val="auto"/>
          <w:sz w:val="32"/>
          <w:szCs w:val="32"/>
          <w:highlight w:val="none"/>
          <w:lang w:val="en-US" w:eastAsia="zh-CN"/>
        </w:rPr>
        <w:t>格局逐渐形成，</w:t>
      </w:r>
      <w:r>
        <w:rPr>
          <w:rFonts w:hint="default" w:ascii="Times New Roman" w:hAnsi="Times New Roman" w:eastAsia="方正仿宋_GBK" w:cs="Times New Roman"/>
          <w:color w:val="auto"/>
          <w:sz w:val="32"/>
          <w:szCs w:val="32"/>
          <w:highlight w:val="none"/>
        </w:rPr>
        <w:t>进一步提高我国农业质量效益与国际竞争力是农业农村发展的迫切要求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从全国来看，党中央坚持把解决好“三农”问题作为新发展阶段全党工作的重中之重。从省</w:t>
      </w:r>
      <w:r>
        <w:rPr>
          <w:rFonts w:hint="default" w:ascii="Times New Roman" w:hAnsi="Times New Roman" w:eastAsia="方正仿宋_GBK" w:cs="Times New Roman"/>
          <w:color w:val="auto"/>
          <w:sz w:val="32"/>
          <w:szCs w:val="32"/>
          <w:highlight w:val="none"/>
          <w:lang w:val="en-US" w:eastAsia="zh-CN"/>
        </w:rPr>
        <w:t>市来</w:t>
      </w:r>
      <w:r>
        <w:rPr>
          <w:rFonts w:hint="default" w:ascii="Times New Roman" w:hAnsi="Times New Roman" w:eastAsia="方正仿宋_GBK" w:cs="Times New Roman"/>
          <w:color w:val="auto"/>
          <w:sz w:val="32"/>
          <w:szCs w:val="32"/>
          <w:highlight w:val="none"/>
        </w:rPr>
        <w:t>看，</w:t>
      </w:r>
      <w:r>
        <w:rPr>
          <w:rFonts w:hint="eastAsia" w:ascii="Times New Roman" w:hAnsi="Times New Roman" w:eastAsia="方正仿宋_GBK" w:cs="Times New Roman"/>
          <w:color w:val="auto"/>
          <w:sz w:val="32"/>
          <w:szCs w:val="32"/>
          <w:highlight w:val="none"/>
          <w:lang w:val="en-US" w:eastAsia="zh-CN"/>
        </w:rPr>
        <w:t>全省</w:t>
      </w:r>
      <w:r>
        <w:rPr>
          <w:rFonts w:hint="default" w:ascii="Times New Roman" w:hAnsi="Times New Roman" w:eastAsia="方正仿宋_GBK" w:cs="Times New Roman"/>
          <w:color w:val="auto"/>
          <w:sz w:val="32"/>
          <w:szCs w:val="32"/>
          <w:highlight w:val="none"/>
        </w:rPr>
        <w:t>牢记“争当表率、争做示范、走在前列”重大使命，全面推进乡村“五大振兴”，奋力走出一条具有江苏特色的农业农村现代化道路。从</w:t>
      </w:r>
      <w:r>
        <w:rPr>
          <w:rFonts w:hint="default" w:ascii="Times New Roman" w:hAnsi="Times New Roman" w:eastAsia="方正仿宋_GBK" w:cs="Times New Roman"/>
          <w:color w:val="auto"/>
          <w:sz w:val="32"/>
          <w:szCs w:val="32"/>
          <w:highlight w:val="none"/>
          <w:lang w:val="en-US" w:eastAsia="zh-CN"/>
        </w:rPr>
        <w:t>新区来</w:t>
      </w:r>
      <w:r>
        <w:rPr>
          <w:rFonts w:hint="default" w:ascii="Times New Roman" w:hAnsi="Times New Roman" w:eastAsia="方正仿宋_GBK" w:cs="Times New Roman"/>
          <w:color w:val="auto"/>
          <w:sz w:val="32"/>
          <w:szCs w:val="32"/>
          <w:highlight w:val="none"/>
        </w:rPr>
        <w:t>看，</w:t>
      </w:r>
      <w:r>
        <w:rPr>
          <w:rFonts w:hint="eastAsia" w:ascii="Times New Roman" w:hAnsi="Times New Roman" w:eastAsia="方正仿宋_GBK" w:cs="Times New Roman"/>
          <w:color w:val="auto"/>
          <w:sz w:val="32"/>
          <w:szCs w:val="32"/>
          <w:highlight w:val="none"/>
          <w:lang w:val="en-US" w:eastAsia="zh-CN"/>
        </w:rPr>
        <w:t>紧扣</w:t>
      </w:r>
      <w:r>
        <w:rPr>
          <w:rFonts w:hint="default" w:ascii="Times New Roman" w:hAnsi="Times New Roman" w:eastAsia="方正仿宋_GBK" w:cs="Times New Roman"/>
          <w:bCs w:val="0"/>
          <w:color w:val="auto"/>
          <w:kern w:val="2"/>
          <w:sz w:val="32"/>
          <w:szCs w:val="32"/>
          <w:highlight w:val="none"/>
          <w:lang w:val="en-US" w:eastAsia="zh-CN" w:bidi="ar-SA"/>
        </w:rPr>
        <w:t>“三区一平台”战略定位，</w:t>
      </w:r>
      <w:r>
        <w:rPr>
          <w:rFonts w:hint="default" w:ascii="Times New Roman" w:hAnsi="Times New Roman" w:eastAsia="方正仿宋_GBK" w:cs="Times New Roman"/>
          <w:bCs/>
          <w:color w:val="auto"/>
          <w:sz w:val="32"/>
          <w:szCs w:val="32"/>
          <w:highlight w:val="none"/>
          <w:lang w:val="en-US" w:eastAsia="zh-CN"/>
        </w:rPr>
        <w:t>加快江北新区建设，全力打造江北新主城</w:t>
      </w:r>
      <w:r>
        <w:rPr>
          <w:rFonts w:hint="eastAsia" w:ascii="Times New Roman" w:hAnsi="Times New Roman" w:eastAsia="方正仿宋_GBK" w:cs="Times New Roman"/>
          <w:bCs/>
          <w:color w:val="auto"/>
          <w:sz w:val="32"/>
          <w:szCs w:val="32"/>
          <w:highlight w:val="none"/>
          <w:lang w:val="en-US" w:eastAsia="zh-CN"/>
        </w:rPr>
        <w:t>。</w:t>
      </w:r>
    </w:p>
    <w:p w14:paraId="30D969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总体要求</w:t>
      </w:r>
    </w:p>
    <w:p w14:paraId="7013212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深入贯彻党中央关于实施乡村振兴战略的系列重大部署，坚持创新发展理念，坚持城乡融合发展，坚持质量效益并重，坚持农村改革创新，坚持农民主体地位，加快推进农业农村现代化建设，全面增强农业农村发展内生动力。</w:t>
      </w:r>
    </w:p>
    <w:p w14:paraId="3F865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发展目标</w:t>
      </w:r>
    </w:p>
    <w:p w14:paraId="4216F9E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农业现代化和农村现代化一体设计、一体推动，到2025年，江北新区乡村振兴取得重大突破，农业农村现代化建设取得较好成效，高质量发展的示范引领作用充分体现，把农村建设成新区城市的“后花园”，把农业发展为新区市民的“乡愁情”，把农民提升为新区主城的“新市民”。具体发展指标如下表。</w:t>
      </w:r>
    </w:p>
    <w:p w14:paraId="4B753ECF">
      <w:pPr>
        <w:keepNext w:val="0"/>
        <w:keepLines w:val="0"/>
        <w:pageBreakBefore w:val="0"/>
        <w:tabs>
          <w:tab w:val="left" w:pos="343"/>
        </w:tabs>
        <w:kinsoku/>
        <w:wordWrap/>
        <w:overflowPunct/>
        <w:topLinePunct w:val="0"/>
        <w:autoSpaceDE/>
        <w:autoSpaceDN/>
        <w:bidi w:val="0"/>
        <w:adjustRightInd/>
        <w:snapToGrid/>
        <w:spacing w:line="560" w:lineRule="exact"/>
        <w:ind w:firstLine="420"/>
        <w:jc w:val="center"/>
        <w:textAlignment w:val="auto"/>
        <w:rPr>
          <w:rFonts w:eastAsia="黑体"/>
          <w:color w:val="auto"/>
          <w:sz w:val="21"/>
        </w:rPr>
      </w:pPr>
      <w:bookmarkStart w:id="1" w:name="_Hlk41509601"/>
    </w:p>
    <w:p w14:paraId="6E5C83B0">
      <w:pPr>
        <w:keepNext w:val="0"/>
        <w:keepLines w:val="0"/>
        <w:pageBreakBefore w:val="0"/>
        <w:tabs>
          <w:tab w:val="left" w:pos="343"/>
        </w:tabs>
        <w:kinsoku/>
        <w:wordWrap/>
        <w:overflowPunct/>
        <w:topLinePunct w:val="0"/>
        <w:autoSpaceDE/>
        <w:autoSpaceDN/>
        <w:bidi w:val="0"/>
        <w:adjustRightInd/>
        <w:snapToGrid/>
        <w:spacing w:line="560" w:lineRule="exact"/>
        <w:ind w:firstLine="420"/>
        <w:jc w:val="center"/>
        <w:textAlignment w:val="auto"/>
        <w:rPr>
          <w:rFonts w:eastAsia="黑体"/>
          <w:color w:val="auto"/>
          <w:sz w:val="21"/>
        </w:rPr>
      </w:pPr>
      <w:r>
        <w:rPr>
          <w:rFonts w:eastAsia="黑体"/>
          <w:color w:val="auto"/>
          <w:sz w:val="21"/>
        </w:rPr>
        <w:t>江北新区</w:t>
      </w:r>
      <w:r>
        <w:rPr>
          <w:rFonts w:hint="eastAsia" w:eastAsia="黑体"/>
          <w:color w:val="auto"/>
          <w:sz w:val="21"/>
        </w:rPr>
        <w:t>“十四五”</w:t>
      </w:r>
      <w:r>
        <w:rPr>
          <w:rFonts w:eastAsia="黑体"/>
          <w:color w:val="auto"/>
          <w:sz w:val="21"/>
        </w:rPr>
        <w:t>农业</w:t>
      </w:r>
      <w:r>
        <w:rPr>
          <w:rFonts w:hint="eastAsia" w:eastAsia="黑体"/>
          <w:color w:val="auto"/>
          <w:sz w:val="21"/>
        </w:rPr>
        <w:t>农村现代化</w:t>
      </w:r>
      <w:r>
        <w:rPr>
          <w:rFonts w:eastAsia="黑体"/>
          <w:color w:val="auto"/>
          <w:sz w:val="21"/>
        </w:rPr>
        <w:t>发展</w:t>
      </w:r>
      <w:r>
        <w:rPr>
          <w:rFonts w:hint="eastAsia" w:eastAsia="黑体"/>
          <w:color w:val="auto"/>
          <w:sz w:val="21"/>
          <w:lang w:val="en-US" w:eastAsia="zh-CN"/>
        </w:rPr>
        <w:t>规划</w:t>
      </w:r>
      <w:r>
        <w:rPr>
          <w:rFonts w:eastAsia="黑体"/>
          <w:color w:val="auto"/>
          <w:sz w:val="21"/>
        </w:rPr>
        <w:t>指标</w:t>
      </w:r>
      <w:bookmarkEnd w:id="1"/>
    </w:p>
    <w:tbl>
      <w:tblPr>
        <w:tblStyle w:val="4"/>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3554"/>
        <w:gridCol w:w="817"/>
        <w:gridCol w:w="955"/>
        <w:gridCol w:w="976"/>
        <w:gridCol w:w="922"/>
        <w:gridCol w:w="1478"/>
      </w:tblGrid>
      <w:tr w14:paraId="2EA5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2C22A27">
            <w:pPr>
              <w:widowControl/>
              <w:spacing w:line="240" w:lineRule="auto"/>
              <w:ind w:firstLine="0" w:firstLineChars="0"/>
              <w:jc w:val="center"/>
              <w:rPr>
                <w:b/>
                <w:bCs/>
                <w:color w:val="auto"/>
                <w:sz w:val="21"/>
                <w:highlight w:val="none"/>
              </w:rPr>
            </w:pPr>
            <w:bookmarkStart w:id="2" w:name="_Toc14060"/>
            <w:bookmarkStart w:id="3" w:name="_Toc12847"/>
            <w:bookmarkStart w:id="4" w:name="_Toc13960"/>
            <w:bookmarkStart w:id="5" w:name="_Toc32360"/>
            <w:r>
              <w:rPr>
                <w:b/>
                <w:bCs/>
                <w:color w:val="auto"/>
                <w:sz w:val="21"/>
                <w:highlight w:val="none"/>
              </w:rPr>
              <w:t>序号</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9DA00C3">
            <w:pPr>
              <w:widowControl/>
              <w:spacing w:line="240" w:lineRule="auto"/>
              <w:ind w:firstLine="0" w:firstLineChars="0"/>
              <w:jc w:val="center"/>
              <w:rPr>
                <w:b/>
                <w:bCs/>
                <w:color w:val="auto"/>
                <w:kern w:val="0"/>
                <w:sz w:val="21"/>
                <w:highlight w:val="none"/>
              </w:rPr>
            </w:pPr>
            <w:r>
              <w:rPr>
                <w:b/>
                <w:bCs/>
                <w:color w:val="auto"/>
                <w:sz w:val="21"/>
                <w:highlight w:val="none"/>
              </w:rPr>
              <w:t>指标名称</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0C007E5">
            <w:pPr>
              <w:spacing w:line="240" w:lineRule="auto"/>
              <w:ind w:firstLine="0" w:firstLineChars="0"/>
              <w:jc w:val="center"/>
              <w:rPr>
                <w:b/>
                <w:bCs/>
                <w:color w:val="auto"/>
                <w:sz w:val="21"/>
                <w:highlight w:val="none"/>
              </w:rPr>
            </w:pPr>
            <w:r>
              <w:rPr>
                <w:b/>
                <w:bCs/>
                <w:color w:val="auto"/>
                <w:sz w:val="21"/>
                <w:highlight w:val="none"/>
              </w:rPr>
              <w:t>单位</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9AF4DBB">
            <w:pPr>
              <w:spacing w:line="240" w:lineRule="auto"/>
              <w:ind w:firstLine="0" w:firstLineChars="0"/>
              <w:jc w:val="center"/>
              <w:rPr>
                <w:b/>
                <w:bCs/>
                <w:color w:val="auto"/>
                <w:sz w:val="21"/>
                <w:highlight w:val="none"/>
              </w:rPr>
            </w:pPr>
            <w:r>
              <w:rPr>
                <w:b/>
                <w:bCs/>
                <w:color w:val="auto"/>
                <w:sz w:val="21"/>
                <w:highlight w:val="none"/>
              </w:rPr>
              <w:t>20</w:t>
            </w:r>
            <w:r>
              <w:rPr>
                <w:rFonts w:hint="eastAsia"/>
                <w:b/>
                <w:bCs/>
                <w:color w:val="auto"/>
                <w:sz w:val="21"/>
                <w:highlight w:val="none"/>
              </w:rPr>
              <w:t>20</w:t>
            </w:r>
            <w:r>
              <w:rPr>
                <w:b/>
                <w:bCs/>
                <w:color w:val="auto"/>
                <w:sz w:val="21"/>
                <w:highlight w:val="none"/>
              </w:rPr>
              <w:t>年</w:t>
            </w:r>
          </w:p>
          <w:p w14:paraId="39F183E5">
            <w:pPr>
              <w:spacing w:line="240" w:lineRule="auto"/>
              <w:ind w:firstLine="0" w:firstLineChars="0"/>
              <w:jc w:val="center"/>
              <w:rPr>
                <w:rFonts w:hint="eastAsia"/>
                <w:b/>
                <w:bCs/>
                <w:color w:val="auto"/>
                <w:sz w:val="21"/>
                <w:highlight w:val="none"/>
              </w:rPr>
            </w:pPr>
            <w:r>
              <w:rPr>
                <w:rFonts w:hint="eastAsia"/>
                <w:b/>
                <w:bCs/>
                <w:color w:val="auto"/>
                <w:sz w:val="21"/>
                <w:highlight w:val="none"/>
              </w:rPr>
              <w:t>基期值</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7F5716F">
            <w:pPr>
              <w:spacing w:line="240" w:lineRule="auto"/>
              <w:ind w:firstLine="0" w:firstLineChars="0"/>
              <w:jc w:val="center"/>
              <w:rPr>
                <w:b/>
                <w:bCs/>
                <w:color w:val="auto"/>
                <w:sz w:val="21"/>
                <w:highlight w:val="none"/>
              </w:rPr>
            </w:pPr>
            <w:r>
              <w:rPr>
                <w:b/>
                <w:bCs/>
                <w:color w:val="auto"/>
                <w:sz w:val="21"/>
                <w:highlight w:val="none"/>
              </w:rPr>
              <w:t>2025年</w:t>
            </w:r>
          </w:p>
          <w:p w14:paraId="0CF927D7">
            <w:pPr>
              <w:spacing w:line="240" w:lineRule="auto"/>
              <w:ind w:firstLine="0" w:firstLineChars="0"/>
              <w:jc w:val="center"/>
              <w:rPr>
                <w:rFonts w:hint="eastAsia"/>
                <w:b/>
                <w:bCs/>
                <w:color w:val="auto"/>
                <w:sz w:val="21"/>
                <w:highlight w:val="none"/>
              </w:rPr>
            </w:pPr>
            <w:r>
              <w:rPr>
                <w:rFonts w:hint="eastAsia"/>
                <w:b/>
                <w:bCs/>
                <w:color w:val="auto"/>
                <w:sz w:val="21"/>
                <w:highlight w:val="none"/>
              </w:rPr>
              <w:t>目标值</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9FC21A2">
            <w:pPr>
              <w:spacing w:line="240" w:lineRule="auto"/>
              <w:ind w:firstLine="0" w:firstLineChars="0"/>
              <w:jc w:val="center"/>
              <w:rPr>
                <w:b/>
                <w:bCs/>
                <w:color w:val="auto"/>
                <w:sz w:val="21"/>
                <w:highlight w:val="none"/>
              </w:rPr>
            </w:pPr>
            <w:r>
              <w:rPr>
                <w:rFonts w:hint="eastAsia"/>
                <w:b/>
                <w:bCs/>
                <w:color w:val="auto"/>
                <w:sz w:val="21"/>
                <w:highlight w:val="none"/>
              </w:rPr>
              <w:t>指标</w:t>
            </w:r>
          </w:p>
          <w:p w14:paraId="2CFEA50F">
            <w:pPr>
              <w:spacing w:line="240" w:lineRule="auto"/>
              <w:ind w:firstLine="0" w:firstLineChars="0"/>
              <w:jc w:val="center"/>
              <w:rPr>
                <w:b/>
                <w:bCs/>
                <w:color w:val="auto"/>
                <w:sz w:val="21"/>
                <w:highlight w:val="none"/>
              </w:rPr>
            </w:pPr>
            <w:r>
              <w:rPr>
                <w:rFonts w:hint="eastAsia"/>
                <w:b/>
                <w:bCs/>
                <w:color w:val="auto"/>
                <w:sz w:val="21"/>
                <w:highlight w:val="none"/>
              </w:rPr>
              <w:t>属性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28E7EA3">
            <w:pPr>
              <w:spacing w:line="240" w:lineRule="auto"/>
              <w:ind w:firstLine="0" w:firstLineChars="0"/>
              <w:jc w:val="center"/>
              <w:rPr>
                <w:rFonts w:hint="eastAsia" w:eastAsia="仿宋"/>
                <w:b/>
                <w:bCs/>
                <w:color w:val="auto"/>
                <w:sz w:val="21"/>
                <w:highlight w:val="none"/>
                <w:lang w:val="en-US" w:eastAsia="zh-CN"/>
              </w:rPr>
            </w:pPr>
            <w:r>
              <w:rPr>
                <w:rFonts w:hint="eastAsia"/>
                <w:b/>
                <w:bCs/>
                <w:color w:val="auto"/>
                <w:sz w:val="21"/>
                <w:highlight w:val="none"/>
                <w:lang w:val="en-US" w:eastAsia="zh-CN"/>
              </w:rPr>
              <w:t>责任主体</w:t>
            </w:r>
          </w:p>
        </w:tc>
      </w:tr>
      <w:tr w14:paraId="3EC4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5EEF312">
            <w:pPr>
              <w:widowControl/>
              <w:spacing w:line="360" w:lineRule="auto"/>
              <w:ind w:firstLine="0" w:firstLineChars="0"/>
              <w:jc w:val="center"/>
              <w:rPr>
                <w:rFonts w:hint="eastAsia"/>
                <w:color w:val="auto"/>
                <w:sz w:val="21"/>
                <w:highlight w:val="none"/>
              </w:rPr>
            </w:pPr>
            <w:r>
              <w:rPr>
                <w:rFonts w:hint="eastAsia"/>
                <w:color w:val="auto"/>
                <w:sz w:val="21"/>
                <w:highlight w:val="none"/>
              </w:rPr>
              <w:t>1</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10A73D9">
            <w:pPr>
              <w:widowControl/>
              <w:spacing w:line="360" w:lineRule="auto"/>
              <w:ind w:firstLine="0" w:firstLineChars="0"/>
              <w:jc w:val="center"/>
              <w:rPr>
                <w:color w:val="auto"/>
                <w:sz w:val="21"/>
                <w:highlight w:val="none"/>
              </w:rPr>
            </w:pPr>
            <w:r>
              <w:rPr>
                <w:rFonts w:hint="eastAsia"/>
                <w:color w:val="auto"/>
                <w:sz w:val="21"/>
                <w:highlight w:val="none"/>
              </w:rPr>
              <w:t>粮食综合生产能力</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840E330">
            <w:pPr>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亿斤</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D29FFA1">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0.37</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3A8400C">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≥0.37</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66C6CC8">
            <w:pPr>
              <w:spacing w:line="360" w:lineRule="auto"/>
              <w:ind w:firstLine="0" w:firstLineChars="0"/>
              <w:jc w:val="center"/>
              <w:rPr>
                <w:color w:val="auto"/>
                <w:sz w:val="21"/>
                <w:highlight w:val="none"/>
              </w:rPr>
            </w:pPr>
            <w:r>
              <w:rPr>
                <w:rFonts w:hint="eastAsia"/>
                <w:color w:val="auto"/>
                <w:sz w:val="21"/>
                <w:highlight w:val="none"/>
              </w:rPr>
              <w:t>约束性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991DFE2">
            <w:pPr>
              <w:spacing w:line="360" w:lineRule="auto"/>
              <w:ind w:firstLine="0" w:firstLineChars="0"/>
              <w:jc w:val="center"/>
              <w:rPr>
                <w:rFonts w:hint="eastAsia" w:eastAsia="仿宋"/>
                <w:color w:val="auto"/>
                <w:sz w:val="21"/>
                <w:highlight w:val="none"/>
                <w:lang w:val="en-US" w:eastAsia="zh-CN"/>
              </w:rPr>
            </w:pPr>
            <w:r>
              <w:rPr>
                <w:rFonts w:hint="eastAsia"/>
                <w:color w:val="auto"/>
                <w:sz w:val="21"/>
                <w:highlight w:val="none"/>
                <w:lang w:val="en-US" w:eastAsia="zh-CN"/>
              </w:rPr>
              <w:t>经济发展局</w:t>
            </w:r>
          </w:p>
        </w:tc>
      </w:tr>
      <w:tr w14:paraId="6B94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9122C33">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2</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D1E5026">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农产品质量安全例行监测合格率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97B2661">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3F05E0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D7FF3E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98</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5A18138">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约束性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FEC7A41">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1799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5EC17A3">
            <w:pPr>
              <w:widowControl/>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3</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74521A3">
            <w:pPr>
              <w:widowControl/>
              <w:spacing w:line="360" w:lineRule="auto"/>
              <w:ind w:firstLine="0" w:firstLineChars="0"/>
              <w:jc w:val="center"/>
              <w:rPr>
                <w:rFonts w:hint="eastAsia"/>
                <w:color w:val="auto"/>
                <w:sz w:val="21"/>
                <w:highlight w:val="none"/>
              </w:rPr>
            </w:pPr>
            <w:bookmarkStart w:id="6" w:name="FunCunProofread11261"/>
            <w:r>
              <w:rPr>
                <w:rFonts w:hint="eastAsia"/>
                <w:color w:val="auto"/>
                <w:sz w:val="21"/>
                <w:highlight w:val="none"/>
                <w:u w:val="none" w:color="FFFFFF"/>
                <w:shd w:val="clear"/>
              </w:rPr>
              <w:t>绿</w:t>
            </w:r>
            <w:bookmarkEnd w:id="6"/>
            <w:r>
              <w:rPr>
                <w:rFonts w:hint="eastAsia"/>
                <w:color w:val="auto"/>
                <w:sz w:val="21"/>
                <w:highlight w:val="none"/>
              </w:rPr>
              <w:t>色优质农产品比重</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35F1F98">
            <w:pPr>
              <w:spacing w:line="360" w:lineRule="auto"/>
              <w:ind w:firstLine="0" w:firstLineChars="0"/>
              <w:jc w:val="center"/>
              <w:rPr>
                <w:rFonts w:hint="eastAsia"/>
                <w:color w:val="auto"/>
                <w:sz w:val="21"/>
                <w:highlight w:val="none"/>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57D7C3F">
            <w:pPr>
              <w:spacing w:line="360" w:lineRule="auto"/>
              <w:ind w:firstLine="0" w:firstLineChars="0"/>
              <w:jc w:val="center"/>
              <w:rPr>
                <w:rFonts w:hint="default"/>
                <w:color w:val="auto"/>
                <w:sz w:val="21"/>
                <w:highlight w:val="none"/>
                <w:lang w:val="en-US"/>
              </w:rPr>
            </w:pPr>
            <w:r>
              <w:rPr>
                <w:rFonts w:hint="eastAsia"/>
                <w:color w:val="auto"/>
                <w:sz w:val="21"/>
                <w:highlight w:val="none"/>
                <w:lang w:val="en-US" w:eastAsia="zh-CN"/>
              </w:rPr>
              <w:t>40</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F690716">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75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DBF6EF8">
            <w:pPr>
              <w:spacing w:line="360" w:lineRule="auto"/>
              <w:ind w:firstLine="0" w:firstLineChars="0"/>
              <w:jc w:val="center"/>
              <w:rPr>
                <w:rFonts w:hint="eastAsia"/>
                <w:color w:val="auto"/>
                <w:sz w:val="21"/>
                <w:highlight w:val="none"/>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1752581">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0C9C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DD94E49">
            <w:pPr>
              <w:widowControl/>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4</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9667AF7">
            <w:pPr>
              <w:widowControl/>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市级及以上</w:t>
            </w:r>
            <w:r>
              <w:rPr>
                <w:rFonts w:hint="eastAsia"/>
                <w:color w:val="auto"/>
                <w:sz w:val="21"/>
                <w:highlight w:val="none"/>
                <w:lang w:val="en-US" w:eastAsia="zh-CN"/>
              </w:rPr>
              <w:t>农业龙头企业</w:t>
            </w:r>
            <w:r>
              <w:rPr>
                <w:rFonts w:hint="eastAsia"/>
                <w:color w:val="auto"/>
                <w:sz w:val="21"/>
                <w:highlight w:val="none"/>
              </w:rPr>
              <w:t>数量</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41BA5AB">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个</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BC72F6F">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1</w:t>
            </w:r>
            <w:r>
              <w:rPr>
                <w:color w:val="auto"/>
                <w:sz w:val="21"/>
                <w:highlight w:val="none"/>
              </w:rPr>
              <w:t>1</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9D0B30B">
            <w:pPr>
              <w:spacing w:line="360" w:lineRule="auto"/>
              <w:ind w:firstLine="0" w:firstLineChars="0"/>
              <w:jc w:val="center"/>
              <w:rPr>
                <w:rFonts w:hint="default" w:eastAsia="仿宋"/>
                <w:color w:val="auto"/>
                <w:kern w:val="2"/>
                <w:sz w:val="21"/>
                <w:szCs w:val="22"/>
                <w:highlight w:val="none"/>
                <w:lang w:val="en-US" w:eastAsia="zh-CN" w:bidi="ar-SA"/>
              </w:rPr>
            </w:pPr>
            <w:r>
              <w:rPr>
                <w:rFonts w:hint="eastAsia"/>
                <w:color w:val="auto"/>
                <w:sz w:val="21"/>
                <w:highlight w:val="none"/>
                <w:lang w:val="en-US" w:eastAsia="zh-CN"/>
              </w:rPr>
              <w:t>14</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18DEFC4">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2DF7E10">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3476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A89B26E">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5</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D3AD8D6">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主要农作物优良品种覆盖率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210EB3E">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ECF2791">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FF3A75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rFonts w:hint="eastAsia"/>
                <w:color w:val="auto"/>
                <w:sz w:val="21"/>
                <w:highlight w:val="none"/>
                <w:lang w:val="en-US" w:eastAsia="zh-CN"/>
              </w:rPr>
              <w:t>99</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2193010">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09DB865">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24B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F13CD64">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6</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1A56E82">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农作物耕种收机械化率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04D833E">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0DDA4C0">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76.7</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3AD8866">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9</w:t>
            </w:r>
            <w:r>
              <w:rPr>
                <w:color w:val="auto"/>
                <w:sz w:val="21"/>
                <w:highlight w:val="none"/>
              </w:rPr>
              <w:t>1</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F679BC4">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83FF5D7">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498F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9D48C09">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6353422">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农业劳动生产率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4D36609">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万元/人</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B0FC13F">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434416D">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9.1</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48AC425">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BD114E6">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经济发展局</w:t>
            </w:r>
          </w:p>
        </w:tc>
      </w:tr>
      <w:tr w14:paraId="4426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784AE49">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8</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54A5833">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村集体经济强村占比</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9CF4DE0">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9D159FB">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32.6</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6D24949">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70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342DCF7">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C1F7D6C">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经济发展局</w:t>
            </w:r>
          </w:p>
        </w:tc>
      </w:tr>
      <w:tr w14:paraId="55D6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38D1D08">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326D5F9">
            <w:pPr>
              <w:widowControl/>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农村基本公共服务均等化实现程度</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FDCBA82">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1C42B19">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C5EB21F">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＞95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5CDAD40">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E296D8C">
            <w:pPr>
              <w:spacing w:line="360" w:lineRule="auto"/>
              <w:ind w:firstLine="0" w:firstLineChars="0"/>
              <w:jc w:val="center"/>
              <w:rPr>
                <w:rFonts w:hint="eastAsia" w:eastAsia="仿宋"/>
                <w:color w:val="auto"/>
                <w:sz w:val="21"/>
                <w:highlight w:val="none"/>
                <w:lang w:val="en-US" w:eastAsia="zh-CN"/>
              </w:rPr>
            </w:pPr>
            <w:r>
              <w:rPr>
                <w:rFonts w:hint="eastAsia"/>
                <w:color w:val="auto"/>
                <w:sz w:val="21"/>
                <w:highlight w:val="none"/>
                <w:lang w:val="en-US" w:eastAsia="zh-CN"/>
              </w:rPr>
              <w:t>经济发展局</w:t>
            </w:r>
          </w:p>
        </w:tc>
      </w:tr>
      <w:tr w14:paraId="4D3B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44DB1A4">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10</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4ACBD63">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数字农业农村发展水平</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CB8195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5F6E800">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EE426DD">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70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AD5B1AD">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07636EF">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14:paraId="01DB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4C688BF">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11</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F778800">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区级以上文明村比例</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EF10376">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43C81E6">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77.8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D93EBB3">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82</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A5452D4">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B1B3D82">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宣传和统战部</w:t>
            </w:r>
          </w:p>
        </w:tc>
      </w:tr>
      <w:tr w14:paraId="0D9B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0500FA0">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12</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E5B740A">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农业科技进步贡献率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A457CCE">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FE97D23">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AB2396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eastAsia="等线"/>
                <w:color w:val="auto"/>
                <w:sz w:val="21"/>
                <w:highlight w:val="none"/>
              </w:rPr>
              <w:t>80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8261D8A">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1464649">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科技创新局</w:t>
            </w:r>
          </w:p>
        </w:tc>
      </w:tr>
      <w:tr w14:paraId="559B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2B8F64F">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13</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A3B97FA">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规划保留村的</w:t>
            </w:r>
            <w:r>
              <w:rPr>
                <w:rFonts w:hint="eastAsia"/>
                <w:color w:val="auto"/>
                <w:sz w:val="21"/>
                <w:highlight w:val="none"/>
              </w:rPr>
              <w:t>美丽</w:t>
            </w:r>
            <w:r>
              <w:rPr>
                <w:rFonts w:hint="eastAsia"/>
                <w:color w:val="auto"/>
                <w:sz w:val="21"/>
                <w:highlight w:val="none"/>
                <w:lang w:val="en-US" w:eastAsia="zh-CN"/>
              </w:rPr>
              <w:t>宜居</w:t>
            </w:r>
            <w:r>
              <w:rPr>
                <w:rFonts w:hint="eastAsia"/>
                <w:color w:val="auto"/>
                <w:sz w:val="21"/>
                <w:highlight w:val="none"/>
              </w:rPr>
              <w:t>乡村</w:t>
            </w:r>
            <w:r>
              <w:rPr>
                <w:rFonts w:hint="eastAsia"/>
                <w:color w:val="auto"/>
                <w:sz w:val="21"/>
                <w:highlight w:val="none"/>
                <w:lang w:val="en-US" w:eastAsia="zh-CN"/>
              </w:rPr>
              <w:t>建成数</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5EC0881">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个</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0107A8B">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B12F303">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35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77C7633">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FBA1C9C">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建设与交通局</w:t>
            </w:r>
          </w:p>
        </w:tc>
      </w:tr>
      <w:tr w14:paraId="5EB1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74B6858">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1</w:t>
            </w:r>
            <w:r>
              <w:rPr>
                <w:rFonts w:hint="eastAsia"/>
                <w:color w:val="auto"/>
                <w:sz w:val="21"/>
                <w:highlight w:val="none"/>
                <w:lang w:val="en-US" w:eastAsia="zh-CN"/>
              </w:rPr>
              <w:t>4</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DCCCE93">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农村生活污水治理率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1E7811C">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73A4972">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92</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379A06C">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100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8BBC71C">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87E53F0">
            <w:pPr>
              <w:spacing w:line="240" w:lineRule="auto"/>
              <w:ind w:firstLine="0" w:firstLineChars="0"/>
              <w:jc w:val="center"/>
              <w:rPr>
                <w:rFonts w:hint="eastAsia"/>
                <w:color w:val="auto"/>
                <w:sz w:val="21"/>
                <w:highlight w:val="none"/>
                <w:lang w:val="en-US" w:eastAsia="zh-CN"/>
              </w:rPr>
            </w:pPr>
            <w:r>
              <w:rPr>
                <w:rFonts w:hint="eastAsia"/>
                <w:color w:val="auto"/>
                <w:sz w:val="21"/>
                <w:highlight w:val="none"/>
                <w:lang w:val="en-US" w:eastAsia="zh-CN"/>
              </w:rPr>
              <w:t xml:space="preserve">生态环境和 </w:t>
            </w:r>
          </w:p>
          <w:p w14:paraId="55449D21">
            <w:pPr>
              <w:spacing w:line="240" w:lineRule="auto"/>
              <w:ind w:firstLine="0" w:firstLineChars="0"/>
              <w:jc w:val="center"/>
              <w:rPr>
                <w:rFonts w:hint="eastAsia"/>
                <w:color w:val="auto"/>
                <w:sz w:val="21"/>
                <w:highlight w:val="none"/>
              </w:rPr>
            </w:pPr>
            <w:r>
              <w:rPr>
                <w:rFonts w:hint="eastAsia"/>
                <w:color w:val="auto"/>
                <w:sz w:val="21"/>
                <w:highlight w:val="none"/>
                <w:lang w:val="en-US" w:eastAsia="zh-CN"/>
              </w:rPr>
              <w:t>水务局</w:t>
            </w:r>
          </w:p>
        </w:tc>
      </w:tr>
      <w:tr w14:paraId="356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45EC3DB3">
            <w:pPr>
              <w:widowControl/>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15</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74D3EE1">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szCs w:val="21"/>
                <w:highlight w:val="none"/>
                <w:shd w:val="clear" w:color="auto" w:fill="FFFFFF"/>
              </w:rPr>
              <w:t>农村生态河道覆盖率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3447240">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645414BB">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564DBE4A">
            <w:pPr>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市定考核指标</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11051DF7">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DEDC080">
            <w:pPr>
              <w:spacing w:line="240" w:lineRule="auto"/>
              <w:ind w:firstLine="0" w:firstLineChars="0"/>
              <w:jc w:val="center"/>
              <w:rPr>
                <w:rFonts w:hint="eastAsia"/>
                <w:color w:val="auto"/>
                <w:sz w:val="21"/>
                <w:highlight w:val="none"/>
                <w:lang w:val="en-US" w:eastAsia="zh-CN"/>
              </w:rPr>
            </w:pPr>
            <w:r>
              <w:rPr>
                <w:rFonts w:hint="eastAsia"/>
                <w:color w:val="auto"/>
                <w:sz w:val="21"/>
                <w:highlight w:val="none"/>
                <w:lang w:val="en-US" w:eastAsia="zh-CN"/>
              </w:rPr>
              <w:t>生态环境和</w:t>
            </w:r>
          </w:p>
          <w:p w14:paraId="29107AB9">
            <w:pPr>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水务局</w:t>
            </w:r>
          </w:p>
        </w:tc>
      </w:tr>
      <w:tr w14:paraId="3434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7572ED8">
            <w:pPr>
              <w:widowControl/>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kern w:val="2"/>
                <w:sz w:val="21"/>
                <w:szCs w:val="22"/>
                <w:highlight w:val="none"/>
                <w:lang w:val="en-US" w:eastAsia="zh-CN" w:bidi="ar-SA"/>
              </w:rPr>
              <w:t>16</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D132741">
            <w:pPr>
              <w:widowControl/>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ascii="Times New Roman" w:hAnsi="Times New Roman" w:cs="Times New Roman"/>
                <w:color w:val="auto"/>
                <w:sz w:val="21"/>
                <w:highlight w:val="none"/>
                <w:lang w:val="en-US" w:eastAsia="zh-CN"/>
              </w:rPr>
              <w:t>农村义务教育学校专任教师本科及以上学历比例</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0520EF7">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0C56687E">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97.2</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77762569">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kern w:val="2"/>
                <w:sz w:val="21"/>
                <w:szCs w:val="22"/>
                <w:highlight w:val="none"/>
                <w:lang w:val="en-US" w:eastAsia="zh-CN" w:bidi="ar-SA"/>
              </w:rPr>
              <w:t>98</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2A906EB4">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14:paraId="38EC0691">
            <w:pPr>
              <w:spacing w:line="240" w:lineRule="auto"/>
              <w:ind w:firstLine="0" w:firstLineChars="0"/>
              <w:jc w:val="center"/>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教育和社会</w:t>
            </w:r>
          </w:p>
          <w:p w14:paraId="2E3B60DD">
            <w:pPr>
              <w:spacing w:line="240" w:lineRule="auto"/>
              <w:ind w:firstLine="0" w:firstLineChars="0"/>
              <w:jc w:val="center"/>
              <w:rPr>
                <w:rFonts w:hint="eastAsia"/>
                <w:color w:val="auto"/>
                <w:sz w:val="21"/>
                <w:highlight w:val="none"/>
              </w:rPr>
            </w:pPr>
            <w:r>
              <w:rPr>
                <w:rFonts w:hint="eastAsia" w:ascii="Times New Roman" w:hAnsi="Times New Roman" w:cs="Times New Roman"/>
                <w:color w:val="auto"/>
                <w:sz w:val="21"/>
                <w:highlight w:val="none"/>
                <w:lang w:val="en-US" w:eastAsia="zh-CN"/>
              </w:rPr>
              <w:t>保障局</w:t>
            </w:r>
          </w:p>
        </w:tc>
      </w:tr>
    </w:tbl>
    <w:p w14:paraId="5202CD1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14:paraId="7F5367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bookmarkStart w:id="7" w:name="_Toc13583"/>
      <w:bookmarkStart w:id="8" w:name="_Toc5414"/>
      <w:bookmarkStart w:id="9" w:name="_Toc24026"/>
      <w:bookmarkStart w:id="10" w:name="_Toc27252"/>
      <w:r>
        <w:rPr>
          <w:rFonts w:hint="eastAsia" w:ascii="方正黑体_GBK" w:hAnsi="方正黑体_GBK" w:eastAsia="方正黑体_GBK" w:cs="方正黑体_GBK"/>
          <w:sz w:val="32"/>
          <w:szCs w:val="32"/>
          <w:lang w:val="en-US" w:eastAsia="zh-CN"/>
        </w:rPr>
        <w:t>四、发展</w:t>
      </w:r>
      <w:bookmarkEnd w:id="7"/>
      <w:bookmarkEnd w:id="8"/>
      <w:bookmarkEnd w:id="9"/>
      <w:bookmarkEnd w:id="10"/>
      <w:r>
        <w:rPr>
          <w:rFonts w:hint="eastAsia" w:ascii="方正黑体_GBK" w:hAnsi="方正黑体_GBK" w:eastAsia="方正黑体_GBK" w:cs="方正黑体_GBK"/>
          <w:sz w:val="32"/>
          <w:szCs w:val="32"/>
          <w:lang w:val="en-US" w:eastAsia="zh-CN"/>
        </w:rPr>
        <w:t>定位</w:t>
      </w:r>
    </w:p>
    <w:p w14:paraId="219074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22"/>
          <w:highlight w:val="none"/>
          <w:lang w:val="en-US" w:eastAsia="zh-CN"/>
        </w:rPr>
      </w:pPr>
      <w:r>
        <w:rPr>
          <w:rFonts w:hint="default" w:ascii="Times New Roman" w:hAnsi="Times New Roman" w:eastAsia="方正仿宋_GBK" w:cs="Times New Roman"/>
          <w:b/>
          <w:bCs/>
          <w:sz w:val="32"/>
          <w:szCs w:val="22"/>
          <w:highlight w:val="none"/>
          <w:lang w:val="en-US" w:eastAsia="zh-CN"/>
        </w:rPr>
        <w:t>1.</w:t>
      </w:r>
      <w:r>
        <w:rPr>
          <w:rFonts w:hint="eastAsia" w:ascii="Times New Roman" w:hAnsi="Times New Roman" w:eastAsia="方正仿宋_GBK" w:cs="Times New Roman"/>
          <w:b/>
          <w:bCs/>
          <w:sz w:val="32"/>
          <w:szCs w:val="22"/>
          <w:highlight w:val="none"/>
          <w:lang w:val="en-US" w:eastAsia="zh-CN"/>
        </w:rPr>
        <w:t xml:space="preserve"> </w:t>
      </w:r>
      <w:r>
        <w:rPr>
          <w:rFonts w:hint="default" w:ascii="Times New Roman" w:hAnsi="Times New Roman" w:eastAsia="方正仿宋_GBK" w:cs="Times New Roman"/>
          <w:b/>
          <w:bCs/>
          <w:sz w:val="32"/>
          <w:szCs w:val="22"/>
          <w:highlight w:val="none"/>
          <w:lang w:val="en-US" w:eastAsia="zh-CN"/>
        </w:rPr>
        <w:t>新区总体定位</w:t>
      </w:r>
    </w:p>
    <w:p w14:paraId="501722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充分发挥</w:t>
      </w:r>
      <w:r>
        <w:rPr>
          <w:rFonts w:hint="default" w:ascii="Times New Roman" w:hAnsi="Times New Roman" w:eastAsia="方正仿宋_GBK" w:cs="Times New Roman"/>
          <w:color w:val="auto"/>
          <w:sz w:val="32"/>
          <w:szCs w:val="32"/>
          <w:highlight w:val="none"/>
          <w:lang w:val="en-US" w:eastAsia="zh-CN"/>
        </w:rPr>
        <w:t>国家级新区</w:t>
      </w:r>
      <w:r>
        <w:rPr>
          <w:rFonts w:hint="default" w:ascii="Times New Roman" w:hAnsi="Times New Roman" w:eastAsia="方正仿宋_GBK" w:cs="Times New Roman"/>
          <w:bCs/>
          <w:color w:val="auto"/>
          <w:sz w:val="32"/>
          <w:szCs w:val="32"/>
          <w:highlight w:val="none"/>
          <w:lang w:val="en-US" w:eastAsia="zh-CN"/>
        </w:rPr>
        <w:t>平台和新主城建设优势，</w:t>
      </w:r>
      <w:r>
        <w:rPr>
          <w:rFonts w:hint="default" w:ascii="Times New Roman" w:hAnsi="Times New Roman" w:eastAsia="方正仿宋_GBK" w:cs="Times New Roman"/>
          <w:color w:val="auto"/>
          <w:sz w:val="32"/>
          <w:szCs w:val="32"/>
          <w:highlight w:val="none"/>
        </w:rPr>
        <w:t>在农业农村发展政策上先行先试</w:t>
      </w:r>
      <w:r>
        <w:rPr>
          <w:rFonts w:hint="default" w:ascii="Times New Roman" w:hAnsi="Times New Roman" w:eastAsia="方正仿宋_GBK" w:cs="Times New Roman"/>
          <w:color w:val="auto"/>
          <w:sz w:val="32"/>
          <w:szCs w:val="32"/>
          <w:highlight w:val="none"/>
          <w:lang w:val="en-US" w:eastAsia="zh-CN"/>
        </w:rPr>
        <w:t>的制度优势，</w:t>
      </w:r>
      <w:r>
        <w:rPr>
          <w:rFonts w:hint="default" w:ascii="Times New Roman" w:hAnsi="Times New Roman" w:eastAsia="方正仿宋_GBK" w:cs="Times New Roman"/>
          <w:bCs/>
          <w:color w:val="auto"/>
          <w:sz w:val="32"/>
          <w:szCs w:val="32"/>
          <w:highlight w:val="none"/>
          <w:lang w:val="en-US" w:eastAsia="zh-CN"/>
        </w:rPr>
        <w:t>科技、人才、金融、信息等现代要素资源优势，二三产带动一产、城市带动农村优势，</w:t>
      </w:r>
      <w:r>
        <w:rPr>
          <w:rFonts w:hint="default" w:ascii="Times New Roman" w:hAnsi="Times New Roman" w:eastAsia="方正仿宋_GBK" w:cs="Times New Roman"/>
          <w:sz w:val="32"/>
          <w:szCs w:val="22"/>
          <w:highlight w:val="none"/>
          <w:lang w:val="en-US" w:eastAsia="zh-CN"/>
        </w:rPr>
        <w:t>努力</w:t>
      </w:r>
      <w:r>
        <w:rPr>
          <w:rFonts w:hint="default" w:ascii="Times New Roman" w:hAnsi="Times New Roman" w:eastAsia="方正仿宋_GBK" w:cs="Times New Roman"/>
          <w:sz w:val="32"/>
          <w:szCs w:val="32"/>
          <w:highlight w:val="none"/>
        </w:rPr>
        <w:t>将南京江北新区农业农村</w:t>
      </w:r>
      <w:r>
        <w:rPr>
          <w:rFonts w:hint="default" w:ascii="Times New Roman" w:hAnsi="Times New Roman" w:eastAsia="方正仿宋_GBK" w:cs="Times New Roman"/>
          <w:sz w:val="32"/>
          <w:szCs w:val="32"/>
          <w:highlight w:val="none"/>
          <w:lang w:val="en-US" w:eastAsia="zh-CN"/>
        </w:rPr>
        <w:t>建成</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b/>
          <w:bCs/>
          <w:sz w:val="32"/>
          <w:szCs w:val="32"/>
          <w:highlight w:val="none"/>
        </w:rPr>
        <w:t>都市现代农业示范区、优势特色产业融合发展区、科技创新赋能样板区、新型城乡一体化先行区</w:t>
      </w:r>
      <w:r>
        <w:rPr>
          <w:rFonts w:hint="default" w:ascii="Times New Roman" w:hAnsi="Times New Roman" w:eastAsia="方正仿宋_GBK" w:cs="Times New Roman"/>
          <w:sz w:val="32"/>
          <w:szCs w:val="32"/>
          <w:highlight w:val="none"/>
        </w:rPr>
        <w:t>。</w:t>
      </w:r>
    </w:p>
    <w:p w14:paraId="3ABE11BA">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22"/>
          <w:highlight w:val="none"/>
          <w:lang w:val="en-US" w:eastAsia="zh-CN"/>
        </w:rPr>
      </w:pPr>
      <w:r>
        <w:rPr>
          <w:rFonts w:hint="default" w:ascii="Times New Roman" w:hAnsi="Times New Roman" w:eastAsia="方正仿宋_GBK" w:cs="Times New Roman"/>
          <w:b/>
          <w:bCs/>
          <w:sz w:val="32"/>
          <w:szCs w:val="22"/>
          <w:highlight w:val="none"/>
          <w:lang w:val="en-US" w:eastAsia="zh-CN"/>
        </w:rPr>
        <w:t>街道发展定位</w:t>
      </w:r>
    </w:p>
    <w:p w14:paraId="646162A9">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顶山街道发挥区域要素集聚优势，着力打造现代农业科技创新赋能发展示范。</w:t>
      </w:r>
    </w:p>
    <w:p w14:paraId="2CCA723E">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泰山街道发挥区位交通优势，着力打造新区农产品铁路枢纽经济发展示范。</w:t>
      </w:r>
    </w:p>
    <w:p w14:paraId="17AD9574">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沿江街道发挥基层公共服务能力建设优势，着力打造新型城镇化发展示范。</w:t>
      </w:r>
    </w:p>
    <w:p w14:paraId="52AAE308">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大厂街道发挥现代产业发展优势，着力打造新主城农村集体经济发展示范。</w:t>
      </w:r>
    </w:p>
    <w:p w14:paraId="4500D27C">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盘城街道发挥葡萄特色产业优势，着力打造产业融合与全域旅游发展示范。</w:t>
      </w:r>
    </w:p>
    <w:p w14:paraId="7C9077AE">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葛塘街道发挥城市近郊园艺产业优势，着力打造都市型农业产业发展示范。</w:t>
      </w:r>
    </w:p>
    <w:p w14:paraId="059A2920">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长芦街道发挥集中连片农地资源优势，着力打造现代农业发展示范。</w:t>
      </w:r>
    </w:p>
    <w:bookmarkEnd w:id="2"/>
    <w:bookmarkEnd w:id="3"/>
    <w:bookmarkEnd w:id="4"/>
    <w:bookmarkEnd w:id="5"/>
    <w:p w14:paraId="49E08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五、“十四五”新区农业农村发展主要任务</w:t>
      </w:r>
    </w:p>
    <w:p w14:paraId="182F8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楷体_GBK" w:hAnsi="方正楷体_GBK" w:eastAsia="方正楷体_GBK" w:cs="方正楷体_GBK"/>
          <w:sz w:val="32"/>
          <w:szCs w:val="32"/>
          <w:lang w:val="en-US" w:eastAsia="zh-CN"/>
        </w:rPr>
        <w:t>. 全面推进都市现代农业高质量发展。</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增强优质粮食供给保障能力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做精做特高效园艺产业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推进水产养殖业生态化多元化发展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推动畜禽养殖业健康发展</w:t>
      </w:r>
      <w:r>
        <w:rPr>
          <w:rFonts w:hint="default" w:ascii="Times New Roman" w:hAnsi="Times New Roman" w:eastAsia="方正仿宋_GBK" w:cs="Times New Roman"/>
          <w:b/>
          <w:bCs/>
          <w:sz w:val="32"/>
          <w:szCs w:val="32"/>
          <w:lang w:val="en-US" w:eastAsia="zh-CN"/>
        </w:rPr>
        <w:t>提升农业综合生产能力</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加强高标准农田建设与耕地质量提升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加强现代农业设施建设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提升农机装备水平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推进农产品标准化与安全生产</w:t>
      </w:r>
      <w:r>
        <w:rPr>
          <w:rFonts w:hint="default" w:ascii="Times New Roman" w:hAnsi="Times New Roman" w:eastAsia="方正仿宋_GBK" w:cs="Times New Roman"/>
          <w:b/>
          <w:bCs/>
          <w:sz w:val="32"/>
          <w:szCs w:val="32"/>
          <w:lang w:val="en-US" w:eastAsia="zh-CN"/>
        </w:rPr>
        <w:t>夯实农业生产条件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大力发展农业生产性服务业</w:t>
      </w:r>
      <w:r>
        <w:rPr>
          <w:rFonts w:hint="eastAsia" w:ascii="Times New Roman" w:hAnsi="Times New Roman" w:eastAsia="方正仿宋_GBK" w:cs="Times New Roman"/>
          <w:sz w:val="32"/>
          <w:szCs w:val="32"/>
          <w:lang w:val="en-US" w:eastAsia="zh-CN"/>
        </w:rPr>
        <w:t>、大力发展</w:t>
      </w:r>
      <w:r>
        <w:rPr>
          <w:rFonts w:hint="default" w:ascii="Times New Roman" w:hAnsi="Times New Roman" w:eastAsia="方正仿宋_GBK" w:cs="Times New Roman"/>
          <w:sz w:val="32"/>
          <w:szCs w:val="32"/>
          <w:lang w:val="en-US" w:eastAsia="zh-CN"/>
        </w:rPr>
        <w:t>农产品加工业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优化发展乡村休闲旅游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支持农业关联产业发展</w:t>
      </w:r>
      <w:r>
        <w:rPr>
          <w:rFonts w:hint="eastAsia" w:ascii="Times New Roman" w:hAnsi="Times New Roman" w:eastAsia="方正仿宋_GBK" w:cs="Times New Roman"/>
          <w:b/>
          <w:bCs/>
          <w:sz w:val="32"/>
          <w:szCs w:val="32"/>
          <w:lang w:val="en-US" w:eastAsia="zh-CN"/>
        </w:rPr>
        <w:t>促进产业深度融合</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做大做强种子种苗产业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加强农业“双创”孵化与对外辐射推广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推进智慧农业发展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推进现代农业园区建设</w:t>
      </w:r>
      <w:r>
        <w:rPr>
          <w:rFonts w:hint="eastAsia" w:ascii="Times New Roman" w:hAnsi="Times New Roman" w:eastAsia="方正仿宋_GBK" w:cs="Times New Roman"/>
          <w:b/>
          <w:bCs/>
          <w:sz w:val="32"/>
          <w:szCs w:val="32"/>
          <w:lang w:val="en-US" w:eastAsia="zh-CN"/>
        </w:rPr>
        <w:t>强化科技赋能创新驱动</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推动现代农业“三大体系”建设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强化农产品质量安全体系建设</w:t>
      </w:r>
      <w:r>
        <w:rPr>
          <w:rFonts w:hint="eastAsia" w:ascii="Times New Roman" w:hAnsi="Times New Roman" w:eastAsia="方正仿宋_GBK" w:cs="Times New Roman"/>
          <w:b/>
          <w:bCs/>
          <w:sz w:val="32"/>
          <w:szCs w:val="32"/>
          <w:lang w:val="en-US" w:eastAsia="zh-CN"/>
        </w:rPr>
        <w:t>加强农业产业化经营。</w:t>
      </w:r>
    </w:p>
    <w:p w14:paraId="551F5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 xml:space="preserve">2. </w:t>
      </w:r>
      <w:r>
        <w:rPr>
          <w:rFonts w:hint="eastAsia" w:ascii="方正楷体_GBK" w:hAnsi="方正楷体_GBK" w:eastAsia="方正楷体_GBK" w:cs="方正楷体_GBK"/>
          <w:sz w:val="32"/>
          <w:szCs w:val="32"/>
          <w:lang w:val="en-US" w:eastAsia="zh-CN"/>
        </w:rPr>
        <w:t>全面开展乡村建设行动。</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优化乡村发展空间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分类实施村庄建设</w:t>
      </w:r>
      <w:r>
        <w:rPr>
          <w:rFonts w:hint="eastAsia" w:ascii="Times New Roman" w:hAnsi="Times New Roman" w:eastAsia="方正仿宋_GBK" w:cs="Times New Roman"/>
          <w:b/>
          <w:bCs/>
          <w:sz w:val="32"/>
          <w:szCs w:val="32"/>
          <w:lang w:val="en-US" w:eastAsia="zh-CN"/>
        </w:rPr>
        <w:t>提升乡村规划建设水平</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加强“四好”农路建设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提高农村水电气供给质量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推动数字乡村建设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深化农村公共基础设施管护体制改革</w:t>
      </w:r>
      <w:r>
        <w:rPr>
          <w:rFonts w:hint="eastAsia" w:ascii="Times New Roman" w:hAnsi="Times New Roman" w:eastAsia="方正仿宋_GBK" w:cs="Times New Roman"/>
          <w:b/>
          <w:bCs/>
          <w:sz w:val="32"/>
          <w:szCs w:val="32"/>
          <w:lang w:val="en-US" w:eastAsia="zh-CN"/>
        </w:rPr>
        <w:t>补齐农村基础设施短板</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实施农村人居环境整治提升五年行动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建设全域美丽乡村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强化乡村公共空间治理</w:t>
      </w:r>
      <w:r>
        <w:rPr>
          <w:rFonts w:hint="eastAsia" w:ascii="Times New Roman" w:hAnsi="Times New Roman" w:eastAsia="方正仿宋_GBK" w:cs="Times New Roman"/>
          <w:b/>
          <w:bCs/>
          <w:sz w:val="32"/>
          <w:szCs w:val="32"/>
          <w:lang w:val="en-US" w:eastAsia="zh-CN"/>
        </w:rPr>
        <w:t>推动美丽乡村建设提档升级</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加强乡村生态保护修复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加大农业废弃物综合利用</w:t>
      </w:r>
      <w:r>
        <w:rPr>
          <w:rFonts w:hint="eastAsia" w:ascii="Times New Roman" w:hAnsi="Times New Roman" w:eastAsia="方正仿宋_GBK" w:cs="Times New Roman"/>
          <w:b/>
          <w:bCs/>
          <w:sz w:val="32"/>
          <w:szCs w:val="32"/>
          <w:lang w:val="en-US" w:eastAsia="zh-CN"/>
        </w:rPr>
        <w:t>强化乡村生态建设。</w:t>
      </w:r>
    </w:p>
    <w:p w14:paraId="0E19C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Times New Roman" w:hAnsi="Times New Roman" w:eastAsia="方正仿宋_GBK" w:cs="Times New Roman"/>
          <w:b w:val="0"/>
          <w:bCs w:val="0"/>
          <w:sz w:val="32"/>
          <w:szCs w:val="32"/>
          <w:lang w:val="en-US" w:eastAsia="zh-CN"/>
        </w:rPr>
        <w:t>3.</w:t>
      </w:r>
      <w:r>
        <w:rPr>
          <w:rFonts w:hint="eastAsia" w:ascii="方正楷体_GBK" w:hAnsi="方正楷体_GBK" w:eastAsia="方正楷体_GBK" w:cs="方正楷体_GBK"/>
          <w:sz w:val="32"/>
          <w:szCs w:val="32"/>
          <w:lang w:val="en-US" w:eastAsia="zh-CN"/>
        </w:rPr>
        <w:t>全面提升乡村治理和乡风文明水平</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全面加强农村基层党建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完善村民自治机制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提升乡村智慧治理</w:t>
      </w:r>
      <w:r>
        <w:rPr>
          <w:rFonts w:hint="eastAsia" w:ascii="Times New Roman" w:hAnsi="Times New Roman" w:eastAsia="方正仿宋_GBK" w:cs="Times New Roman"/>
          <w:b/>
          <w:bCs/>
          <w:sz w:val="32"/>
          <w:szCs w:val="32"/>
          <w:lang w:val="en-US" w:eastAsia="zh-CN"/>
        </w:rPr>
        <w:t>健全乡村治理体系。</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推进法治乡村建设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加强平安乡村建设</w:t>
      </w:r>
      <w:r>
        <w:rPr>
          <w:rFonts w:hint="eastAsia" w:ascii="Times New Roman" w:hAnsi="Times New Roman" w:eastAsia="方正仿宋_GBK" w:cs="Times New Roman"/>
          <w:b/>
          <w:bCs/>
          <w:sz w:val="32"/>
          <w:szCs w:val="32"/>
          <w:lang w:val="en-US" w:eastAsia="zh-CN"/>
        </w:rPr>
        <w:t>加强法治乡村和平安乡村建设</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b w:val="0"/>
          <w:bCs w:val="0"/>
          <w:color w:val="auto"/>
          <w:sz w:val="32"/>
          <w:szCs w:val="32"/>
          <w:highlight w:val="none"/>
        </w:rPr>
        <w:t>强化城乡教育资源均衡配置</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提升乡村医疗卫生服务水平</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促进城乡养老服务协同发展</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健全农村公共文化体育服务体系</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加强农村特殊群体救助与关爱</w:t>
      </w:r>
      <w:r>
        <w:rPr>
          <w:rFonts w:hint="eastAsia" w:ascii="Times New Roman" w:hAnsi="Times New Roman" w:eastAsia="方正仿宋_GBK" w:cs="Times New Roman"/>
          <w:b/>
          <w:bCs/>
          <w:color w:val="auto"/>
          <w:sz w:val="32"/>
          <w:szCs w:val="32"/>
          <w:highlight w:val="none"/>
          <w:lang w:val="en-US" w:eastAsia="zh-CN"/>
        </w:rPr>
        <w:t>发展乡村社会事业。</w:t>
      </w:r>
      <w:r>
        <w:rPr>
          <w:rFonts w:hint="eastAsia" w:ascii="Times New Roman" w:hAnsi="Times New Roman"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rPr>
        <w:t>加强乡村文化产品供给与服务</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培育文明乡风淳朴民风</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保护传承乡村优秀文化</w:t>
      </w:r>
      <w:r>
        <w:rPr>
          <w:rFonts w:hint="eastAsia" w:ascii="Times New Roman" w:hAnsi="Times New Roman" w:eastAsia="方正仿宋_GBK" w:cs="Times New Roman"/>
          <w:b/>
          <w:bCs/>
          <w:color w:val="auto"/>
          <w:sz w:val="32"/>
          <w:szCs w:val="32"/>
          <w:highlight w:val="none"/>
          <w:lang w:val="en-US" w:eastAsia="zh-CN"/>
        </w:rPr>
        <w:t>树立乡村文明新风尚。</w:t>
      </w:r>
    </w:p>
    <w:p w14:paraId="6C999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4. </w:t>
      </w:r>
      <w:r>
        <w:rPr>
          <w:rFonts w:hint="eastAsia" w:ascii="方正楷体_GBK" w:hAnsi="方正楷体_GBK" w:eastAsia="方正楷体_GBK" w:cs="方正楷体_GBK"/>
          <w:sz w:val="32"/>
          <w:szCs w:val="32"/>
          <w:lang w:val="en-US" w:eastAsia="zh-CN"/>
        </w:rPr>
        <w:t>全面提升农民获得感幸福感。</w:t>
      </w:r>
      <w:r>
        <w:rPr>
          <w:rFonts w:hint="eastAsia" w:ascii="Times New Roman" w:hAnsi="Times New Roman"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rPr>
        <w:t>提升职业农民素质</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大力培养乡土人才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加快推进职业技能培训</w:t>
      </w:r>
      <w:r>
        <w:rPr>
          <w:rFonts w:hint="eastAsia" w:ascii="Times New Roman" w:hAnsi="Times New Roman" w:eastAsia="方正仿宋_GBK" w:cs="Times New Roman"/>
          <w:b/>
          <w:bCs/>
          <w:color w:val="auto"/>
          <w:sz w:val="32"/>
          <w:szCs w:val="32"/>
          <w:highlight w:val="none"/>
          <w:lang w:val="en-US" w:eastAsia="zh-CN"/>
        </w:rPr>
        <w:t>加强高素质农民培育。</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加强农民创业就业服务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持续拓宽农民增收渠道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发展壮大村集体经济</w:t>
      </w:r>
      <w:r>
        <w:rPr>
          <w:rFonts w:hint="eastAsia" w:ascii="Times New Roman" w:hAnsi="Times New Roman" w:eastAsia="方正仿宋_GBK" w:cs="Times New Roman"/>
          <w:b/>
          <w:bCs/>
          <w:sz w:val="32"/>
          <w:szCs w:val="32"/>
          <w:lang w:val="en-US" w:eastAsia="zh-CN"/>
        </w:rPr>
        <w:t>构建农民增收长效机制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强化政策有效衔接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分类推进相对低收入人口帮促</w:t>
      </w:r>
      <w:r>
        <w:rPr>
          <w:rFonts w:hint="eastAsia" w:ascii="Times New Roman" w:hAnsi="Times New Roman" w:eastAsia="方正仿宋_GBK" w:cs="Times New Roman"/>
          <w:b/>
          <w:bCs/>
          <w:sz w:val="32"/>
          <w:szCs w:val="32"/>
          <w:lang w:val="en-US" w:eastAsia="zh-CN"/>
        </w:rPr>
        <w:t>推进巩固拓展脱贫攻坚成果同乡村振兴有效衔接。</w:t>
      </w:r>
    </w:p>
    <w:p w14:paraId="16D9E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5. </w:t>
      </w:r>
      <w:r>
        <w:rPr>
          <w:rFonts w:hint="eastAsia" w:ascii="方正楷体_GBK" w:hAnsi="方正楷体_GBK" w:eastAsia="方正楷体_GBK" w:cs="方正楷体_GBK"/>
          <w:sz w:val="32"/>
          <w:szCs w:val="32"/>
          <w:lang w:val="en-US" w:eastAsia="zh-CN"/>
        </w:rPr>
        <w:t>全面深化城乡融合及农村改革。</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优化区域空间布局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促进城乡人口双向流动</w:t>
      </w:r>
      <w:r>
        <w:rPr>
          <w:rFonts w:hint="eastAsia" w:ascii="Times New Roman" w:hAnsi="Times New Roman" w:eastAsia="方正仿宋_GBK" w:cs="Times New Roman"/>
          <w:b/>
          <w:bCs/>
          <w:sz w:val="32"/>
          <w:szCs w:val="32"/>
          <w:lang w:val="en-US" w:eastAsia="zh-CN"/>
        </w:rPr>
        <w:t>健全城乡融合发展体制机制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巩固和完善农村基本经营制度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深化农村土地制度改革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深化农村集体产权制度改革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深化农村金融改革</w:t>
      </w:r>
      <w:bookmarkStart w:id="11" w:name="FunCunProofread29981"/>
      <w:r>
        <w:rPr>
          <w:rFonts w:hint="eastAsia" w:ascii="Times New Roman" w:hAnsi="Times New Roman" w:eastAsia="方正仿宋_GBK" w:cs="Times New Roman"/>
          <w:b/>
          <w:bCs/>
          <w:sz w:val="32"/>
          <w:szCs w:val="32"/>
          <w:u w:val="none" w:color="FFFFFF"/>
          <w:shd w:val="clear"/>
          <w:lang w:val="en-US" w:eastAsia="zh-CN"/>
        </w:rPr>
        <w:t>深</w:t>
      </w:r>
      <w:bookmarkEnd w:id="11"/>
      <w:r>
        <w:rPr>
          <w:rFonts w:hint="eastAsia" w:ascii="Times New Roman" w:hAnsi="Times New Roman" w:eastAsia="方正仿宋_GBK" w:cs="Times New Roman"/>
          <w:b/>
          <w:bCs/>
          <w:sz w:val="32"/>
          <w:szCs w:val="32"/>
          <w:lang w:val="en-US" w:eastAsia="zh-CN"/>
        </w:rPr>
        <w:t>化农村重点领域制度改革。</w:t>
      </w:r>
    </w:p>
    <w:p w14:paraId="448B8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 </w:t>
      </w:r>
      <w:r>
        <w:rPr>
          <w:rFonts w:hint="eastAsia" w:ascii="方正楷体_GBK" w:hAnsi="方正楷体_GBK" w:eastAsia="方正楷体_GBK" w:cs="方正楷体_GBK"/>
          <w:sz w:val="32"/>
          <w:szCs w:val="32"/>
          <w:lang w:val="en-US" w:eastAsia="zh-CN"/>
        </w:rPr>
        <w:t>规划保障措施。</w:t>
      </w:r>
      <w:r>
        <w:rPr>
          <w:rFonts w:hint="eastAsia" w:ascii="Times New Roman" w:hAnsi="Times New Roman" w:eastAsia="方正仿宋_GBK" w:cs="Times New Roman"/>
          <w:sz w:val="32"/>
          <w:szCs w:val="32"/>
          <w:lang w:val="en-US" w:eastAsia="zh-CN"/>
        </w:rPr>
        <w:t>加强</w:t>
      </w:r>
      <w:bookmarkStart w:id="12" w:name="_GoBack"/>
      <w:bookmarkEnd w:id="12"/>
      <w:r>
        <w:rPr>
          <w:rFonts w:hint="eastAsia" w:ascii="Times New Roman" w:hAnsi="Times New Roman" w:eastAsia="方正仿宋_GBK" w:cs="Times New Roman"/>
          <w:sz w:val="32"/>
          <w:szCs w:val="32"/>
          <w:lang w:val="en-US" w:eastAsia="zh-CN"/>
        </w:rPr>
        <w:t>组织领导、完善政策保障、强化土地供给、强化科技支撑、优化资金投入。</w:t>
      </w:r>
    </w:p>
    <w:p w14:paraId="586C03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KSOF57490D39">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FF040"/>
    <w:multiLevelType w:val="singleLevel"/>
    <w:tmpl w:val="E88FF040"/>
    <w:lvl w:ilvl="0" w:tentative="0">
      <w:start w:val="2"/>
      <w:numFmt w:val="decimal"/>
      <w:suff w:val="space"/>
      <w:lvlText w:val="%1."/>
      <w:lvlJc w:val="left"/>
    </w:lvl>
  </w:abstractNum>
  <w:abstractNum w:abstractNumId="1">
    <w:nsid w:val="62DD6231"/>
    <w:multiLevelType w:val="singleLevel"/>
    <w:tmpl w:val="62DD623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jJiOTZmZTk3M2FmMDFiOTZiNTNjYjc4MWZhYTIifQ=="/>
  </w:docVars>
  <w:rsids>
    <w:rsidRoot w:val="52B1167C"/>
    <w:rsid w:val="09BF1E8A"/>
    <w:rsid w:val="16253272"/>
    <w:rsid w:val="29A03F35"/>
    <w:rsid w:val="2DA00022"/>
    <w:rsid w:val="41A52F9A"/>
    <w:rsid w:val="45E302D7"/>
    <w:rsid w:val="49536E5E"/>
    <w:rsid w:val="4DD00E1F"/>
    <w:rsid w:val="4E7D6C58"/>
    <w:rsid w:val="52B1167C"/>
    <w:rsid w:val="6A0E178B"/>
    <w:rsid w:val="77F43A93"/>
    <w:rsid w:val="7845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0" w:line="480" w:lineRule="auto"/>
      <w:jc w:val="center"/>
      <w:outlineLvl w:val="1"/>
    </w:pPr>
    <w:rPr>
      <w:rFonts w:eastAsia="黑体"/>
      <w:b/>
      <w:bCs/>
      <w:sz w:val="36"/>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2808</Words>
  <Characters>2882</Characters>
  <Lines>0</Lines>
  <Paragraphs>0</Paragraphs>
  <TotalTime>3</TotalTime>
  <ScaleCrop>false</ScaleCrop>
  <LinksUpToDate>false</LinksUpToDate>
  <CharactersWithSpaces>2889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2022-10-13T08:59:00Z</dcterms:created>
  <dc:creator>时颜BQ</dc:creator>
  <cp:lastModifiedBy>沈妍</cp:lastModifiedBy>
  <cp:lastPrinted>2022-10-13T10:07:00Z</cp:lastPrinted>
  <dcterms:modified xsi:type="dcterms:W3CDTF">2026-05-07T01:28:47Z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B33054DB8F974BB0B50DD092D6253BC6</vt:lpwstr>
  </property>
  <property fmtid="{D5CDD505-2E9C-101B-9397-08002B2CF9AE}" pid="4" name="KSOTemplateDocerSaveRecord">
    <vt:lpwstr>eyJoZGlkIjoiZmQ5MTNmMTU2ZDE0ZWJkZjA2NzVjMjZhM2YzMzQyOWEiLCJ1c2VySWQiOiIxNDk3MTk2Mzc2In0=</vt:lpwstr>
  </property>
</Properties>
</file>