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Times New Roman" w:hAnsi="Times New Roman" w:eastAsia="小标宋" w:cs="小标宋"/>
                <w:b w:val="0"/>
                <w:bCs/>
                <w:sz w:val="52"/>
              </w:rPr>
            </w:pPr>
            <w:r>
              <w:rPr>
                <w:rFonts w:hint="eastAsia" w:ascii="Times New Roman" w:hAnsi="Times New Roman" w:eastAsia="小标宋" w:cs="小标宋"/>
                <w:b w:val="0"/>
                <w:bCs/>
                <w:sz w:val="52"/>
              </w:rPr>
              <w:t>2024年度中共南京江北新区工作委员会</w:t>
            </w:r>
          </w:p>
          <w:p>
            <w:pPr>
              <w:ind w:right="284" w:rightChars="129"/>
              <w:jc w:val="center"/>
              <w:rPr>
                <w:rFonts w:hint="eastAsia" w:ascii="宋体" w:hAnsi="宋体" w:eastAsia="宋体" w:cs="宋体"/>
                <w:b/>
                <w:bCs/>
                <w:sz w:val="52"/>
                <w:szCs w:val="52"/>
                <w:lang w:val="en-US"/>
              </w:rPr>
            </w:pPr>
            <w:r>
              <w:rPr>
                <w:rFonts w:hint="eastAsia" w:ascii="Times New Roman" w:hAnsi="Times New Roman" w:eastAsia="小标宋" w:cs="小标宋"/>
                <w:b w:val="0"/>
                <w:bCs/>
                <w:sz w:val="52"/>
              </w:rPr>
              <w:t>党群工作部</w:t>
            </w:r>
            <w:r>
              <w:rPr>
                <w:rFonts w:hint="eastAsia" w:ascii="Times New Roman" w:hAnsi="Times New Roman" w:eastAsia="小标宋" w:cs="小标宋"/>
                <w:b w:val="0"/>
                <w:bCs/>
                <w:sz w:val="52"/>
                <w:lang w:val="en-US" w:eastAsia="zh-CN"/>
              </w:rPr>
              <w:t>部门</w:t>
            </w:r>
            <w:r>
              <w:rPr>
                <w:rFonts w:hint="eastAsia" w:ascii="Times New Roman" w:hAnsi="Times New Roman" w:eastAsia="小标宋" w:cs="小标宋"/>
                <w:b w:val="0"/>
                <w:bCs/>
                <w:sz w:val="52"/>
              </w:rPr>
              <w:t>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default" w:ascii="Times New Roman" w:hAnsi="Times New Roman" w:eastAsia="黑体" w:cs="Times New Roman"/>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default" w:ascii="Times New Roman" w:hAnsi="Times New Roman" w:eastAsia="黑体" w:cs="Times New Roman"/>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宋体" w:hAnsi="宋体" w:eastAsia="宋体" w:cs="宋体"/>
          <w:b/>
          <w:bCs/>
          <w:sz w:val="14"/>
          <w:szCs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根据《中共南京市委办公厅南京市人民政府办公厅关于印发〈中共南京市委江北新区工作委员会、南京市江北新区管理委员会主要职责、职能机构和人员编制规定〉的通知》（宁委办发〔2017〕58号）规定，党群工作部主要负责江北新区直管区党组织建设、党员管理工作；负责推进直管区干部人事制度改革工作，承担各级领导班子和干部队伍建设职责；负责新区党工委、管委会所属机构及托管街道机关事业单位机构编制、人事管理等工作；负责直管区老干部、机关党委、群团等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具体职责如下：</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基层组织与机构编制工作：负责党的组织工作路线、方针和政策在新区的落实工作；负责新区各级党组织建设工作；负责新区重要学习实践活动的日常工作；负责新区党员管理、教育、发展和党费收缴管理使用工作；负责拟定新区管理体制及机构改革总体方案，并组织实施；负责新区机构“三定”工作以及机关事业单位机构编制日常管理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干部人事工作：负责干部人事制度改革及政策研究；负责新区区管干部选配任免、日常管理、教育培训、考核奖惩和监督工作；协助做好市管干部服务工作；负责新区区管干部（含退休）和科级在职干部人事档案管理工作；负责新区机关事业单位人事管理，负责中高级职称评审工作；负责建立新区薪酬体系、工资福利发放及日常管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人才工作：负责统筹推进新区人才工作；研究提出有关人才工作的规划、管理办法、政策的编制和实施；负责人才目标任务分解及考核，建立人才工作网络体系；负责直管区人才引进、培养、服务、培训工作；配合做好科技镇长团有关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群团工作：负责直管区工会工作，指导基层工会组织开展工作，负责新区机关工会日常工作；负责直管区共青团工作，指导基层团组织开展工作，推动新经济领域团组织建设；负责直管区妇联工作，指导基层妇联组织开展工作，推动新经济领域妇女组织建设；负责新区老干部管理服务工作，做好部机关老干部管理服务；负责新区关工委工作，广泛发动五老（老干部、老战士、老专家、老教师、老模范）积极参与，做好关心下一代各项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综合工作：负责本部工作的综合协调，督促落实本部各项工作部署和领导交办重大事项；负责综合文稿、总结计划和信息宣传工作；负责综合行政工作，做好公文机要、财务资产管理、会务和公务用车管理及行政后勤工作；负责部机关自身建设，做好部机关干部人事、党务工作、考核奖惩等工作；负责新区党史工作；负责新区机关党工委日常工作；主管新区各级机构作风建设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党校工作：承担新区党员干部培训轮训、各类社会人才培训和对外培训工作任务；承办新区党工委、管委会举办的各类党员干部专题研讨班；负责对新区党工委所属基层党组织的党员干部进行党的路线方针政策、形势任务、政治思想等教育；承担决策咨询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（7）完成上级交办的其他任务。</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综合办、基层组织与机构编制办、干部人事办、人才工作办、群团工作办。中共南京江北新区工作委员会党校为江北新区党工委直属事业单位，暂由我部管理。本部门下属单位包括：中共南京江北新区工作委员会党校。</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2</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中共南京江北新区工作委员会党群工作部（本级）、中共南京江北新区工作委员会党校。</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聚焦政治建设筑牢思想根基，扎实推进重大任务落实落地。坚持旗帜鲜明讲政治，深入开展党纪学习教育，抓实抓好省市委巡视巡察整改，高质量推进“四大行动”，有力有序推动各项决策部署和目标任务落实到位、取得实效。</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聚焦建强基层组织体系，以高质量党建引领高质量发展。始终紧扣中心大局，紧紧围绕基层治理、“两企三新”、乡村振兴等重点领域抓实党建引领，推动基层党组织标准化规范化建设，不断提升基层党组织组织力、凝聚力和战斗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聚焦“选育管用”全链条，锻造堪当发展重任的高素质专业化干部队伍。坚持干部人事制度改革方向，统筹做好“选育管用”各环节，持续优化干部队伍结构，夯实干部人事基础，为高质量建设江北新主城提供坚强干部人才支撑。</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4.聚焦构筑高层次人才高地，为发展新质生产力注入强劲人才动能。坚持人才引领发展理念，深化人才体制机制改革，突出产城人融合，大力推进高层次人才集聚和高品质人才生态打造。</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5.聚焦体制机制改革创新，持续激发新区发展内生动力。按照全面深化改革要求，结合新区实际，扎实做好放活和服务两篇文章，为推进新区高质量发展提供坚强的体制机制和机构编制保障。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6.聚焦发挥桥梁纽带作用，凝聚群团力量积极投身新区建设发展。围绕新区高质量建设发展大局，找准群团工作切入点，努力打造新区“党建带群建”“群团共建”工作品牌和特色实事项目。</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7.聚焦打造模范部门过硬队伍，全面从严推动自身建设。认真贯彻落实习近平总书记“讲政治、重公道、业务精、作风好”的总要求，持续加强自身建设，努力锻造值得信任、能担重任、群众公认的模范部门和过硬队伍。</w:t>
      </w:r>
    </w:p>
    <w:p>
      <w:pPr>
        <w:pStyle w:val="8"/>
        <w:spacing w:line="235" w:lineRule="auto"/>
        <w:ind w:left="669" w:leftChars="300" w:right="2414" w:hanging="9"/>
        <w:jc w:val="both"/>
        <w:rPr>
          <w:rFonts w:hint="eastAsia" w:ascii="仿宋" w:hAnsi="仿宋" w:eastAsia="仿宋" w:cs="仿宋"/>
          <w:lang w:val="en-US"/>
        </w:rPr>
        <w:sectPr>
          <w:headerReference r:id="rId6" w:type="default"/>
          <w:footerReference r:id="rId7" w:type="default"/>
          <w:pgSz w:w="11906" w:h="16838"/>
          <w:pgMar w:top="1580" w:right="700" w:bottom="770" w:left="1020" w:header="283" w:footer="280" w:gutter="0"/>
          <w:pgNumType w:fmt="numberInDash" w:start="1"/>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中共南京江北新区工作委员会党群工作部</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中共南京江北新区工作委员会党群工作部</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54,252.71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34,194.68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1,020.00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264.69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13,534.35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3,365.59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1,020.00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2,893.41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55,272.71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55,272.71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17.07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17.07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55,289.77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55,289.77</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8"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55,272.71</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55,272.71</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34,194.68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34,194.68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417.45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417.45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417.45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417.45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32,203.47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32,203.47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31,884.13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31,884.13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184.94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184.94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其他组织事务支出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134.40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134.40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1,573.76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1,573.76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1,573.76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1,573.76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干部教育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264.69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13,534.35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13,534.35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科技条件与服务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6,815.85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6,815.85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技术创新服务体系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6,815.85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6,815.85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6,098.50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6,098.50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6,098.50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6,098.50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3,365.59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3,365.59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893.16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893.16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893.16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893.16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就业补助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就业创业服务补贴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99.10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99.10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2,238.66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2,238.66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2,238.66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2,238.66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2,893.41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9"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55,272.71</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38,008.45</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17,264.25</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34,194.68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31,884.13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2,310.55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417.45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417.45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417.45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417.45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组织事务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32,203.47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31,884.13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319.34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31,884.13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31,884.13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公务员事务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184.94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184.94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其他组织事务支出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134.40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134.40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1,573.76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1,573.76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1,573.76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1,573.76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干部教育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264.69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13,534.35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13,534.35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基础研究</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科技人才队伍建设</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科技条件与服务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6,815.85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6,815.85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技术创新服务体系</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6,815.85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6,815.85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6,098.50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6,098.50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6,098.50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6,098.50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3,365.59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3,230.92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134.67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893.16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893.16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893.16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893.16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就业补助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2080701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就业创业服务补贴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99.10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99.10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99.10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其他优抚支出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2,238.66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2,238.66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2,238.66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2,238.66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2,893.41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10"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54,252.71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34,194.68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34,194.68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3,365.59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3,365.59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55,272.71</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55,272.71</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54,252.71</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1,020.00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16.83</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16.83</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16.83</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16.83</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55,289.54</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55,289.54</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54,269.54</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1,020.00</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55,272.71</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38,008.45</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17,264.25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34,194.68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2,310.55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32,203.47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319.34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184.94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其他组织事务支出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干部教育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科技条件与服务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技术创新服务体系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3,365.59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3,230.92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就业补助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就业创业服务补贴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2"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38,008.45</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37,898.75</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109.71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34,955.11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34,955.11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14,303.70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14,303.70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11,683.48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11,683.48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2,855.07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2,855.07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1,702.87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2,943.64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2,771.98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2,771.98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54,252.71</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38,008.45</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16,244.25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34,194.68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2,310.55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417.45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32,203.47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319.34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31,884.13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公务员事务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其他组织事务支出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1,573.76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干部教育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264.69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13,534.35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科技条件与服务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技术创新服务体系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6,815.85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6,098.50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3,365.59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3,230.92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就业补助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就业创业服务补贴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2,238.66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38,008.45</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37,898.75</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109.71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34,955.11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34,955.11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14,303.70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14,303.70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11,683.48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11,683.48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2,855.07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2,855.07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1,702.87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1,702.87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2,893.41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2,943.64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2,943.64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55.28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2,771.98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2,771.98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5"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10.30</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10.30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77.65</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1.02</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1.02</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76.54</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9</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61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9</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1,034</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6"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1,020.00</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1,020.00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1,020.00</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109.71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8.95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15.38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44.21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8"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中共南京江北新区工作委员会党群工作部</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71.61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2024年度收入、支出决算总计55,289.77万元。与上年相比，收、支总计各减少5,801.93万元，减少9.5%。其中：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（一）收入决算总计55,289.77万元。包括：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55,272.71万元。与上年相比，减少5,802.07万元，减少9.5%，变动原因：薪酬结构及薪资标准调整；上级政策优化调整和项目申报进度调整，省、市级重点人才项目入选名单未如期发布，相关经费暂未拨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3.年初结转和结余17.07万元。与上年相比，增加0.15万元，增长0.89%，变动原因：利息结余。</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（二）支出决算总计55,289.77万元。包括：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55,272.71万元。与上年相比，减少5,801.9万元，减少9.5%，变动原因：薪酬结构及薪资标准调整；上级政策优化调整和项目申报进度调整，省、市级重点人才项目入选名单未如期发布，相关经费暂未拨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3.年末结转和结余17.07万元。结转和结余事项：原化工园化协委售房款利息收入结余。与上年相比，减少0.02万元，减少0.12%，变动原因：上缴利息收入。</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55,272.71万元，其中：财政拨款收入55,272.71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2024年度本年支出决算合计55,272.71万元，其中：基本支出38,008.45万元，占68.77%；项目支出17,264.25万元，占31.23%；上缴上级支出0万元，占0%；经营支出0万元，占0%；对附属单位补助支出0万元，占0%。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55,289.54万元。与上年相比，收、支总计各减少5,801.9万元，减少9.5%，变动原因：薪酬结构及薪资标准调整；上级政策优化调整和项目申报进度调整，省、市级重点人才项目入选名单未如期发布，相关经费暂未拨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2024年度财政拨款支出决算55,272.71万元，占本年支出合计的100%。与2024年度财政拨款支出年初预算62,664.22万元相比，完成年初预算的88.2%。其中：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群众团体事务（款）其他群众团体事务支出（项）。年初预算443万元，支出决算417.45万元，完成年初预算的94.23%。决算数与年初预算数的差异原因：团工委主动对接争取上级部门支持，举办创青春省赛获得团省委经费支持；妇联应基层减负要求，三八妇女节、“美范”评选活动未开展，反家暴月等活动以及项目化运作从简。</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2.组织事务（款）行政运行（项）。年初预算36,520.36万元，支出决算31,884.13万元，完成年初预算的87.31%。决算数与年初预算数的差异原因：薪酬结构及薪资标准调整。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3.组织事务（款）公务员事务（项）。年初预算385万元，支出决算184.94万元，完成年初预算的48.04%。决算数与年初预算数的差异原因：部分干部培训班次未开展。</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4.组织事务（款）其他组织事务支出（项）。年初预算0万元，支出决算134.4万元，（年初预算数为0万元，无法计算完成比率）决算数与年初预算数的差异原因：社区党组织建设经费转移支付。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其他共产党事务支出（款）其他共产党事务支出（项）。年初预算1,785万元，支出决算1,573.76万元，完成年初预算的88.17%。决算数与年初预算数的差异原因：2024年为民服务专项资金市级财政支持减少，新区财政同步减少配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进修及培训（款）干部教育（项）。年初预算288万元，支出决算264.69万元，完成年初预算的91.91%。决算数与年初预算数的差异原因：根据实际班次进行列支。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（三）科学技术支出（类）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1.基础研究（款）科技人才队伍建设（项）。年初预算0万元，支出决算620万元，（年初预算数为0万元，无法计算完成比率）决算数与年初预算数的差异原因：人才政策兑现资金转移支付。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科技条件与服务（款）技术创新服务体系（项）。年初预算14,000万元，支出决算6,815.85万元，完成年初预算的48.68%。决算数与年初预算数的差异原因：上级政策优化调整和项目申报进度调整，省、市级重点人才项目入选名单未如期发布，相关经费暂未拨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3.其他科学技术支出（款）其他科学技术支出（项）。年初预算0万元，支出决算6,098.5万元，（年初预算数为0万元，无法计算完成比率）决算数与年初预算数的差异原因：人才政策兑现资金转移支付。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1.民政管理事务（款）基层政权建设和社区治理（项）。年初预算0万元，支出决算112万元，（年初预算数为0万元，无法计算完成比率）决算数与年初预算数的差异原因：为民服务专项资金转移支付。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2.行政事业单位养老支出（款）机关事业单位职业年金缴费支出（项）。年初预算1,196.59万元，支出决算893.16万元，完成年初预算的74.64%。决算数与年初预算数的差异原因：薪酬结构及薪资标准调整。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3.就业补助（款）就业创业服务补贴（项）。年初预算0万元，支出决算10万元，（年初预算数为0万元，无法计算完成比率）决算数与年初预算数的差异原因：人才政策兑现资金转移支付。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4.抚恤（款）死亡抚恤（项）。年初预算0万元，支出决算99.1万元，（年初预算数为0万元，无法计算完成比率）决算数与年初预算数的差异原因：干部过世追加抚恤金。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5.抚恤（款）其他优抚支出（项）。年初预算0万元，支出决算1.61万元，（年初预算数为0万元，无法计算完成比率）决算数与年初预算数的差异原因：</w:t>
      </w:r>
      <w:r>
        <w:rPr>
          <w:rFonts w:hint="eastAsia" w:ascii="仿宋" w:hAnsi="仿宋" w:eastAsia="仿宋" w:cs="仿宋"/>
          <w:u w:color="auto"/>
          <w:lang w:val="en-US" w:eastAsia="zh-CN"/>
        </w:rPr>
        <w:t>中华人民共和国</w:t>
      </w:r>
      <w:bookmarkStart w:id="0" w:name="_GoBack"/>
      <w:bookmarkEnd w:id="0"/>
      <w:r>
        <w:rPr>
          <w:rFonts w:hint="eastAsia" w:ascii="仿宋" w:hAnsi="仿宋" w:eastAsia="仿宋" w:cs="仿宋"/>
          <w:u w:color="auto"/>
          <w:lang w:val="en-US" w:eastAsia="zh-CN"/>
        </w:rPr>
        <w:t>成立</w:t>
      </w:r>
      <w:r>
        <w:rPr>
          <w:rFonts w:ascii="仿宋" w:hAnsi="仿宋" w:eastAsia="仿宋" w:cs="仿宋"/>
          <w:u w:color="auto"/>
        </w:rPr>
        <w:t>前老党员生活补助转移支付。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6.社会福利（款）养老服务（项）。年初预算0万元，支出决算11.06万元，（年初预算数为0万元，无法计算完成比率）决算数与年初预算数的差异原因：离休干部居家养老服务转移支付资金。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7.其他社会保障和就业支出（款）其他社会保障和就业支出（项）。年初预算3,573.1万元，支出决算2,238.66万元，完成年初预算的62.65%。决算数与年初预算数的差异原因：薪酬结构及薪资标准调整。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（五）城乡社区支出（类）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国有土地使用权出让收入安排的支出（款）农村社会事业支出（项）。年初预算0万元，支出决算1,020万元，（年初预算数为0万元，无法计算完成比率）决算数与年初预算数的差异原因：为民服务专项资金转移支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住房改革支出（款）住房公积金（项）。年初预算4,473.17万元，支出决算2,893.41万元，完成年初预算的64.68%。决算数与年初预算数的差异原因：薪酬结构及薪资标准调整。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2024年度财政拨款基本支出决算38,008.45万元，其中：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（一）人员经费37,898.75万元。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（二）公用经费109.71万元。</w:t>
      </w:r>
      <w:r>
        <w:rPr>
          <w:rFonts w:ascii="仿宋" w:hAnsi="仿宋" w:eastAsia="仿宋" w:cs="仿宋"/>
          <w:u w:color="auto"/>
        </w:rPr>
        <w:t>主要包括：办公费、印刷费、手续费、电费、邮电费、物业管理费、差旅费、公务接待费、委托业务费、工会经费、福利费、其他商品和服务支出。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54,252.71万元。与上年相比，减少6,136.9万元，减少10.16%，变动原因：薪酬结构及薪资标准调整；上级政策优化调整和项目申报进度调整，省、市级重点人才项目入选名单未如期发布，相关经费暂未拨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2024年度一般公共预算财政拨款基本支出决算38,008.45万元，其中：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w:t>
      </w:r>
      <w:r>
        <w:rPr>
          <w:rFonts w:hint="default" w:ascii="Times New Roman" w:hAnsi="Times New Roman" w:eastAsia="楷体" w:cs="Times New Roman"/>
          <w:u w:color="auto"/>
        </w:rPr>
        <w:t>37,898.75</w:t>
      </w:r>
      <w:r>
        <w:rPr>
          <w:rFonts w:ascii="楷体" w:hAnsi="楷体" w:eastAsia="楷体" w:cs="楷体"/>
          <w:u w:color="auto"/>
        </w:rPr>
        <w:t>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w:t>
      </w:r>
      <w:r>
        <w:rPr>
          <w:rFonts w:hint="default" w:ascii="Times New Roman" w:hAnsi="Times New Roman" w:eastAsia="楷体" w:cs="Times New Roman"/>
          <w:u w:color="auto"/>
        </w:rPr>
        <w:t>109.71</w:t>
      </w:r>
      <w:r>
        <w:rPr>
          <w:rFonts w:ascii="楷体" w:hAnsi="楷体" w:eastAsia="楷体" w:cs="楷体"/>
          <w:u w:color="auto"/>
        </w:rPr>
        <w:t>万元。</w:t>
      </w:r>
      <w:r>
        <w:rPr>
          <w:rFonts w:ascii="仿宋" w:hAnsi="仿宋" w:eastAsia="仿宋" w:cs="仿宋"/>
          <w:u w:color="auto"/>
        </w:rPr>
        <w:t>主要包括：办公费、印刷费、手续费、电费、邮电费、物业管理费、差旅费、公务接待费、委托业务费、工会经费、福利费、其他商品和服务支出。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1.02万元（其中：一般公共预算支出1.02万元；政府性基金预算支出0万元；国有资本经营预算支出0万元）。与上年相比，减少1.53万元，变动原因：经费使用从严从紧，厉行节约。其中，因公出国（境）费支出0万元，占“三公”经费的0%；公务用车购置及运行维护费支出0万元，占“三公”经费的0%；公务接待费支出1.02万元，占“三公”经费的100%。2024年度财政拨款“三公”经费支出预算10.3万元（其中：一般公共预算支出10.3万元；政府性基金预算支出0万元；国有资本经营预算支出0万元）。决算数与预算数的差异原因：经费使用从严从紧，厉行节约。</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u w:color="auto"/>
          <w:lang w:val="en-US" w:eastAsia="zh-CN"/>
        </w:rPr>
        <w:t>.</w:t>
      </w:r>
      <w:r>
        <w:rPr>
          <w:rFonts w:ascii="仿宋" w:hAnsi="仿宋" w:eastAsia="仿宋" w:cs="仿宋"/>
          <w:u w:color="auto"/>
        </w:rPr>
        <w:t>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w:t>
      </w:r>
      <w:r>
        <w:rPr>
          <w:rFonts w:hint="eastAsia" w:ascii="仿宋" w:hAnsi="仿宋" w:eastAsia="仿宋" w:cs="仿宋"/>
          <w:u w:color="auto"/>
          <w:lang w:val="en-US" w:eastAsia="zh-CN"/>
        </w:rPr>
        <w:t>.</w:t>
      </w:r>
      <w:r>
        <w:rPr>
          <w:rFonts w:ascii="仿宋" w:hAnsi="仿宋" w:eastAsia="仿宋" w:cs="仿宋"/>
          <w:u w:color="auto"/>
        </w:rPr>
        <w:t>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w:t>
      </w:r>
      <w:r>
        <w:rPr>
          <w:rFonts w:hint="eastAsia" w:ascii="仿宋" w:hAnsi="仿宋" w:eastAsia="仿宋" w:cs="仿宋"/>
          <w:u w:color="auto"/>
          <w:lang w:val="en-US" w:eastAsia="zh-CN"/>
        </w:rPr>
        <w:t>.</w:t>
      </w:r>
      <w:r>
        <w:rPr>
          <w:rFonts w:ascii="仿宋" w:hAnsi="仿宋" w:eastAsia="仿宋" w:cs="仿宋"/>
          <w:u w:color="auto"/>
        </w:rPr>
        <w:t>公务接待费支出预算10.3万元（其中：一般公共预算支出10.3万元；政府性基金预算支出0万元；国有资本经营预算支出0万元），支出决算1.02万元（其中：一般公共预算支出1.02万元；政府性基金预算支出0万元；国有资本经营预算支出0万元），完成调整后预算的9.9%，决算数与预算数的差异原因：经费使用从严从紧，厉行节约。其中：国内公务接待支出1.02万元，接待9批次，61人次，开支内容：接待团中央权益部、深圳前海管理局、哈尔滨经开区、北京市委组织部等调研新区；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20万元（其中：一般公共预算支出20万元；政府性基金预算支出0万元；国有资本经营预算支出0万元），支出决算0万元（其中：一般公共预算支出0万元；政府性基金预算支出0万元；国有资本经营预算支出0万元），完成调整后预算的0%，决算数与预算数的差异原因：经费使用从严从紧，厉行节约。2024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77.65万元（其中：一般公共预算支出77.65万元；政府性基金预算支出0万元；国有资本经营预算支出0万元），支出决算76.54万元（其中：一般公共预算支出76.54万元；政府性基金预算支出0万元；国有资本经营预算支出0万元），完成调整后预算的98.57%，决算数与预算数的差异原因：经费使用从严从紧，厉行节约。2024年度全年组织培训9个，组织培训1034人次，开支内容：2024年新区党员发展对象、江北新区“一把手”政治能力建设等专题培训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2024年度政府性基金预算财政拨款支出决算1,020万元。与上年相比，增加335万元，增长48.91%，变动原因：市财政给予2024年为民服务专项资金转移支付资金支出类别变动。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109.71万元（其中：一般公共预算支出109.71万元；政府性基金预算支出0万元；国有资本经营预算支出0万元）。与上年相比，减少0.08万元，减少0.07%，变动原因：经费使用从严从紧，厉行节约。</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71.61万元，其中：政府采购货物支出8.5万元、政府采购工程支出0万元、政府采购服务支出63.11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0辆，其中：副部(省)级及以上领导用车0辆、主要领导干部用车0辆、机要通信用车0辆、应急保障用车0辆、执法执勤用车0辆、特种专业技术用车0辆、离退休干部用车0辆、其他用车0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2024年度，本部门共0个项目开展了财政重点绩效评价，涉及财政性资金合计0万元；本部门未开展部门整体支出财政重点绩效评价，涉及财政性资金0万元。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本部门组织所属单位共对上年度已实施完成的19个项目开展了绩效自评价，涉及财政性资金合计16,901万元；本部门组织所属单位共开展2项单位整体支出绩效自评价，涉及财政性资金合计62,664.22万元。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本部门共0个项目开展了部门评价，涉及财政性资金合计0万元；本部门未开展部门整体支出部门评价，涉及财政性资金0万元。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十九、一般公共服务支出(类)群众团体事务(款)其他群众团体事务支出(项)</w:t>
      </w:r>
      <w:r>
        <w:rPr>
          <w:rFonts w:ascii="仿宋" w:hAnsi="仿宋" w:eastAsia="仿宋" w:cs="仿宋"/>
          <w:b/>
          <w:u w:color="auto"/>
        </w:rPr>
        <w:t>：</w:t>
      </w:r>
      <w:r>
        <w:rPr>
          <w:rFonts w:hint="eastAsia" w:ascii="仿宋" w:hAnsi="仿宋" w:eastAsia="仿宋" w:cs="仿宋"/>
        </w:rPr>
        <w:t>反映除上述项目以外其他用于群众团体事务方面的支出。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二十、一般公共服务支出(类)组织事务(款)行政运行(项)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二十一、一般公共服务支出(类)组织事务(款)公务员事务(项)</w:t>
      </w:r>
      <w:r>
        <w:rPr>
          <w:rFonts w:ascii="仿宋" w:hAnsi="仿宋" w:eastAsia="仿宋" w:cs="仿宋"/>
          <w:b/>
          <w:u w:color="auto"/>
        </w:rPr>
        <w:t>：</w:t>
      </w:r>
      <w:r>
        <w:rPr>
          <w:rFonts w:hint="eastAsia" w:ascii="仿宋" w:hAnsi="仿宋" w:eastAsia="仿宋" w:cs="仿宋"/>
        </w:rPr>
        <w:t>反映公务员考核、公务员招考、公务员管理、公务员履职能力提升等方面的支出。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二十二、一般公共服务支出(类)组织事务(款)其他组织事务支出(项)</w:t>
      </w:r>
      <w:r>
        <w:rPr>
          <w:rFonts w:ascii="仿宋" w:hAnsi="仿宋" w:eastAsia="仿宋" w:cs="仿宋"/>
          <w:b/>
          <w:u w:color="auto"/>
        </w:rPr>
        <w:t>：</w:t>
      </w:r>
      <w:r>
        <w:rPr>
          <w:rFonts w:hint="eastAsia" w:ascii="仿宋" w:hAnsi="仿宋" w:eastAsia="仿宋" w:cs="仿宋"/>
        </w:rPr>
        <w:t>反映除上述项目以外其他用于中国共产党组织部门的事务支出。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二十三、一般公共服务支出(类)其他共产党事务支出(款)其他共产党事务支出(项)</w:t>
      </w:r>
      <w:r>
        <w:rPr>
          <w:rFonts w:ascii="仿宋" w:hAnsi="仿宋" w:eastAsia="仿宋" w:cs="仿宋"/>
          <w:b/>
          <w:u w:color="auto"/>
        </w:rPr>
        <w:t>：</w:t>
      </w:r>
      <w:r>
        <w:rPr>
          <w:rFonts w:hint="eastAsia" w:ascii="仿宋" w:hAnsi="仿宋" w:eastAsia="仿宋" w:cs="仿宋"/>
        </w:rPr>
        <w:t>反映除上述项目以外其他用于中国共产党事务的支出。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二十四、教育支出(类)进修及培训(款)干部教育(项)</w:t>
      </w:r>
      <w:r>
        <w:rPr>
          <w:rFonts w:ascii="仿宋" w:hAnsi="仿宋" w:eastAsia="仿宋" w:cs="仿宋"/>
          <w:b/>
          <w:u w:color="auto"/>
        </w:rPr>
        <w:t>：</w:t>
      </w:r>
      <w:r>
        <w:rPr>
          <w:rFonts w:hint="eastAsia" w:ascii="仿宋" w:hAnsi="仿宋" w:eastAsia="仿宋" w:cs="仿宋"/>
        </w:rPr>
        <w:t>反映各级党校、行政学院、社会主义学院、国家会计学院的支出。包括机构运转、招聘师资、举办各类培训班的支出等。</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二十五、科学技术支出(类)基础研究(款)科技人才队伍建设(项)</w:t>
      </w:r>
      <w:r>
        <w:rPr>
          <w:rFonts w:ascii="仿宋" w:hAnsi="仿宋" w:eastAsia="仿宋" w:cs="仿宋"/>
          <w:b/>
          <w:u w:color="auto"/>
        </w:rPr>
        <w:t>：</w:t>
      </w:r>
      <w:r>
        <w:rPr>
          <w:rFonts w:hint="eastAsia" w:ascii="仿宋" w:hAnsi="仿宋" w:eastAsia="仿宋" w:cs="仿宋"/>
        </w:rPr>
        <w:t>反映高层次科技人才、科研机构研究生培养和博士后科学基金等方面的支出。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二十六、科学技术支出(类)科技条件与服务(款)技术创新服务体系(项)</w:t>
      </w:r>
      <w:r>
        <w:rPr>
          <w:rFonts w:ascii="仿宋" w:hAnsi="仿宋" w:eastAsia="仿宋" w:cs="仿宋"/>
          <w:b/>
          <w:u w:color="auto"/>
        </w:rPr>
        <w:t>：</w:t>
      </w:r>
      <w:r>
        <w:rPr>
          <w:rFonts w:hint="eastAsia" w:ascii="仿宋" w:hAnsi="仿宋" w:eastAsia="仿宋" w:cs="仿宋"/>
        </w:rPr>
        <w:t>反映国家为公益性行为、企业等提供信息、技术、中介等全方位服务和支持，建立健全企业技术服务体系等方面的支出。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二十七、科学技术支出(类)其他科学技术支出(款)其他科学技术支出(项)</w:t>
      </w:r>
      <w:r>
        <w:rPr>
          <w:rFonts w:ascii="仿宋" w:hAnsi="仿宋" w:eastAsia="仿宋" w:cs="仿宋"/>
          <w:b/>
          <w:u w:color="auto"/>
        </w:rPr>
        <w:t>：</w:t>
      </w:r>
      <w:r>
        <w:rPr>
          <w:rFonts w:hint="eastAsia" w:ascii="仿宋" w:hAnsi="仿宋" w:eastAsia="仿宋" w:cs="仿宋"/>
        </w:rPr>
        <w:t>反映其他科学技术支出中除以上各项外用于科技方面的支出。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二十八、社会保障和就业支出(类)民政管理事务(款)基层政权建设和社区治理(项)</w:t>
      </w:r>
      <w:r>
        <w:rPr>
          <w:rFonts w:ascii="仿宋" w:hAnsi="仿宋" w:eastAsia="仿宋" w:cs="仿宋"/>
          <w:b/>
          <w:u w:color="auto"/>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三十、社会保障和就业支出(类)就业补助(款)就业创业服务补贴(项)</w:t>
      </w:r>
      <w:r>
        <w:rPr>
          <w:rFonts w:ascii="仿宋" w:hAnsi="仿宋" w:eastAsia="仿宋" w:cs="仿宋"/>
          <w:b/>
          <w:u w:color="auto"/>
        </w:rPr>
        <w:t>：</w:t>
      </w:r>
      <w:r>
        <w:rPr>
          <w:rFonts w:hint="eastAsia" w:ascii="仿宋" w:hAnsi="仿宋" w:eastAsia="仿宋" w:cs="仿宋"/>
        </w:rPr>
        <w:t>反映财政用于支持加强公共就业服务机构提升创业服务能力和向社会力量购买就业创业服务成果的补助支出。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三十一、社会保障和就业支出(类)抚恤(款)死亡抚恤(项)</w:t>
      </w:r>
      <w:r>
        <w:rPr>
          <w:rFonts w:ascii="仿宋" w:hAnsi="仿宋" w:eastAsia="仿宋" w:cs="仿宋"/>
          <w:b/>
          <w:u w:color="auto"/>
        </w:rPr>
        <w:t>：</w:t>
      </w:r>
      <w:r>
        <w:rPr>
          <w:rFonts w:hint="eastAsia" w:ascii="仿宋" w:hAnsi="仿宋" w:eastAsia="仿宋" w:cs="仿宋"/>
        </w:rPr>
        <w:t>反映按规定用于烈士和牺牲、病故人员家属的一次性和定期抚恤金、丧葬补助费以及烈士褒扬金。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三十二、社会保障和就业支出(类)抚恤(款)其他优抚支出(项)</w:t>
      </w:r>
      <w:r>
        <w:rPr>
          <w:rFonts w:ascii="仿宋" w:hAnsi="仿宋" w:eastAsia="仿宋" w:cs="仿宋"/>
          <w:b/>
          <w:u w:color="auto"/>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三十三、社会保障和就业支出(类)社会福利(款)养老服务(项)</w:t>
      </w:r>
      <w:r>
        <w:rPr>
          <w:rFonts w:ascii="仿宋" w:hAnsi="仿宋" w:eastAsia="仿宋" w:cs="仿宋"/>
          <w:b/>
          <w:u w:color="auto"/>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三十四、社会保障和就业支出(类)其他社会保障和就业支出(款)其他社会保障和就业支出(项)</w:t>
      </w:r>
      <w:r>
        <w:rPr>
          <w:rFonts w:ascii="仿宋" w:hAnsi="仿宋" w:eastAsia="仿宋" w:cs="仿宋"/>
          <w:b/>
          <w:u w:color="auto"/>
        </w:rPr>
        <w:t>：</w:t>
      </w:r>
      <w:r>
        <w:rPr>
          <w:rFonts w:hint="eastAsia" w:ascii="仿宋" w:hAnsi="仿宋" w:eastAsia="仿宋" w:cs="仿宋"/>
        </w:rPr>
        <w:t>反映除上述项目以外其他用于社会保障和就业方面的支出。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三十五、城乡社区支出(类)国有土地使用权出让收入安排的支出(款)农村社会事业支出(项)</w:t>
      </w:r>
      <w:r>
        <w:rPr>
          <w:rFonts w:ascii="仿宋" w:hAnsi="仿宋" w:eastAsia="仿宋" w:cs="仿宋"/>
          <w:b/>
          <w:u w:color="auto"/>
        </w:rPr>
        <w:t>：</w:t>
      </w:r>
      <w:r>
        <w:rPr>
          <w:rFonts w:hint="eastAsia" w:ascii="仿宋" w:hAnsi="仿宋" w:eastAsia="仿宋" w:cs="仿宋"/>
        </w:rPr>
        <w:t>反映土地出让收入用于农村教育、农村文化和精神文明建设等方面的支出。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Fuqr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0W6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z1HL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6upsRxizM6fP92+PHr8PMrqavr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3PU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hkcb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5uRonjFme0f3ne//i1//lEptXHi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9hkc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x7a7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rHtr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26IqI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fDB15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TLABAABOAwAADgAAAGRycy9lMm9Eb2MueG1srVPNahsxEL4X+g5C&#10;91hrE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6GA0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dA/7EBAABO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rqUXlDhucUSHx4fD0+/D8y8yrxZ17tDgY4OJ9x5T0/gZRpz05I/ozMJHFWz+&#10;oiSCcez1/txfOSYi8qN6Udc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d0D/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HrbSb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ob0LEBAABOAwAADgAAAGRycy9lMm9Eb2MueG1srVNLbtswEN0X6B0I&#10;7mtKD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2hvQ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中共南京江北新区工作委员会党群工作部</w:t>
    </w:r>
    <w:r>
      <w:rPr>
        <w:rFonts w:hint="eastAsia"/>
        <w:lang w:val="en-US" w:eastAsia="zh-CN"/>
      </w:rPr>
      <w:t>部门2024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中共南京江北新区工作委员会党群工作部</w:t>
    </w:r>
    <w:r>
      <w:rPr>
        <w:rFonts w:hint="eastAsia"/>
        <w:lang w:val="en-US" w:eastAsia="zh-CN"/>
      </w:rPr>
      <w:t>2024</w:t>
    </w:r>
    <w:r>
      <w:rPr>
        <w:rFonts w:hint="eastAsia"/>
        <w:lang w:val="en-US"/>
      </w:rPr>
      <w:t>年度</w:t>
    </w:r>
    <w:r>
      <w:rPr>
        <w:u w:color="auto"/>
      </w:rPr>
      <w:t>部门决算公开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1B2090"/>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EF65CD2"/>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7B58D7"/>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EF20F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2A317C"/>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C6A62"/>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10</TotalTime>
  <ScaleCrop>false</ScaleCrop>
  <LinksUpToDate>false</LinksUpToDate>
  <CharactersWithSpaces>1574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何海燕</cp:lastModifiedBy>
  <cp:lastPrinted>2025-09-15T06:37:00Z</cp:lastPrinted>
  <dcterms:modified xsi:type="dcterms:W3CDTF">2025-09-16T08:27:36Z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2052-11.8.2.9067</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