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jc w:val="both"/>
              <w:rPr>
                <w:rFonts w:hint="eastAsia" w:ascii="仿宋" w:hAnsi="仿宋" w:eastAsia="仿宋" w:cs="仿宋"/>
                <w:b/>
                <w:bCs/>
                <w:color w:val="FF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pPr>
              <w:ind w:right="284" w:rightChars="129"/>
              <w:jc w:val="center"/>
              <w:rPr>
                <w:rFonts w:hint="eastAsia" w:ascii="宋体" w:hAnsi="宋体" w:eastAsia="宋体" w:cs="宋体"/>
                <w:b/>
                <w:bCs/>
                <w:sz w:val="52"/>
                <w:szCs w:val="52"/>
                <w:highlight w:val="none"/>
                <w:lang w:val="en-US"/>
              </w:rPr>
            </w:pPr>
            <w:r>
              <w:rPr>
                <w:rFonts w:ascii="宋体" w:hAnsi="宋体" w:eastAsia="宋体" w:cs="宋体"/>
                <w:b/>
                <w:sz w:val="52"/>
                <w:highlight w:val="none"/>
                <w:u w:color="auto"/>
              </w:rPr>
              <w:t>2024年度</w:t>
            </w:r>
            <w:r>
              <w:rPr>
                <w:rFonts w:ascii="宋体" w:hAnsi="宋体" w:eastAsia="宋体" w:cs="宋体"/>
                <w:b/>
                <w:sz w:val="52"/>
                <w:highlight w:val="none"/>
                <w:u w:color="auto"/>
              </w:rPr>
              <w:cr/>
            </w:r>
            <w:r>
              <w:rPr>
                <w:rFonts w:ascii="宋体" w:hAnsi="宋体" w:eastAsia="宋体" w:cs="宋体"/>
                <w:b/>
                <w:sz w:val="52"/>
                <w:highlight w:val="none"/>
                <w:u w:color="auto"/>
              </w:rPr>
              <w:br w:type="textWrapping"/>
            </w:r>
            <w:r>
              <w:rPr>
                <w:rFonts w:ascii="宋体" w:hAnsi="宋体" w:eastAsia="宋体" w:cs="宋体"/>
                <w:b/>
                <w:sz w:val="52"/>
                <w:highlight w:val="none"/>
                <w:u w:color="auto"/>
              </w:rPr>
              <w:t>南京市六合区人民政府长芦街道办事处</w:t>
            </w:r>
            <w:r>
              <w:rPr>
                <w:rFonts w:ascii="宋体" w:hAnsi="宋体" w:eastAsia="宋体" w:cs="宋体"/>
                <w:b/>
                <w:sz w:val="52"/>
                <w:highlight w:val="none"/>
                <w:u w:color="auto"/>
              </w:rPr>
              <w:cr/>
            </w:r>
            <w:r>
              <w:rPr>
                <w:rFonts w:ascii="宋体" w:hAnsi="宋体" w:eastAsia="宋体" w:cs="宋体"/>
                <w:b/>
                <w:sz w:val="52"/>
                <w:highlight w:val="none"/>
                <w:u w:color="auto"/>
              </w:rPr>
              <w:br w:type="textWrapping"/>
            </w:r>
            <w:r>
              <w:rPr>
                <w:rFonts w:ascii="宋体" w:hAnsi="宋体" w:eastAsia="宋体" w:cs="宋体"/>
                <w:b/>
                <w:sz w:val="52"/>
                <w:highlight w:val="none"/>
                <w:u w:color="auto"/>
              </w:rPr>
              <w:t>部门决算公开</w:t>
            </w:r>
          </w:p>
        </w:tc>
      </w:tr>
    </w:tbl>
    <w:p>
      <w:pPr>
        <w:ind w:right="284" w:rightChars="129"/>
        <w:jc w:val="both"/>
        <w:rPr>
          <w:rFonts w:hint="eastAsia" w:ascii="宋体" w:hAnsi="宋体" w:eastAsia="宋体" w:cs="宋体"/>
          <w:b/>
          <w:bCs/>
          <w:sz w:val="52"/>
          <w:szCs w:val="52"/>
          <w:highlight w:val="none"/>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pPr>
        <w:pStyle w:val="8"/>
        <w:spacing w:before="4"/>
        <w:rPr>
          <w:rFonts w:hint="eastAsia" w:ascii="华文仿宋" w:hAnsi="华文仿宋" w:eastAsia="华文仿宋" w:cs="仿宋"/>
          <w:sz w:val="10"/>
          <w:highlight w:val="none"/>
        </w:rPr>
      </w:pPr>
    </w:p>
    <w:p>
      <w:pPr>
        <w:pStyle w:val="3"/>
        <w:tabs>
          <w:tab w:val="left" w:pos="880"/>
        </w:tabs>
        <w:spacing w:line="718" w:lineRule="exact"/>
        <w:ind w:right="313"/>
        <w:rPr>
          <w:rFonts w:hint="eastAsia" w:ascii="仿宋" w:hAnsi="仿宋" w:eastAsia="仿宋" w:cs="仿宋"/>
          <w:highlight w:val="none"/>
        </w:rPr>
      </w:pPr>
      <w:r>
        <w:rPr>
          <w:rFonts w:hint="eastAsia" w:ascii="仿宋" w:hAnsi="仿宋" w:eastAsia="仿宋" w:cs="仿宋"/>
          <w:b/>
          <w:bCs/>
          <w:highlight w:val="none"/>
        </w:rPr>
        <w:t>目</w:t>
      </w:r>
      <w:r>
        <w:rPr>
          <w:rFonts w:hint="eastAsia" w:ascii="仿宋" w:hAnsi="仿宋" w:eastAsia="仿宋" w:cs="仿宋"/>
          <w:b/>
          <w:bCs/>
          <w:highlight w:val="none"/>
        </w:rPr>
        <w:tab/>
      </w:r>
      <w:r>
        <w:rPr>
          <w:rFonts w:hint="eastAsia" w:ascii="仿宋" w:hAnsi="仿宋" w:eastAsia="仿宋" w:cs="仿宋"/>
          <w:b/>
          <w:bCs/>
          <w:highlight w:val="none"/>
        </w:rPr>
        <w:t>录</w:t>
      </w:r>
    </w:p>
    <w:p>
      <w:pPr>
        <w:pStyle w:val="8"/>
        <w:spacing w:before="7"/>
        <w:rPr>
          <w:rFonts w:hint="eastAsia" w:ascii="仿宋" w:hAnsi="仿宋" w:eastAsia="仿宋" w:cs="仿宋"/>
          <w:sz w:val="27"/>
          <w:highlight w:val="none"/>
        </w:rPr>
      </w:pPr>
    </w:p>
    <w:p>
      <w:pPr>
        <w:pStyle w:val="8"/>
        <w:spacing w:line="360" w:lineRule="auto"/>
        <w:ind w:left="671" w:leftChars="300" w:hanging="11"/>
        <w:jc w:val="both"/>
        <w:outlineLvl w:val="0"/>
        <w:rPr>
          <w:rFonts w:hint="eastAsia" w:ascii="黑体" w:hAnsi="黑体" w:eastAsia="黑体" w:cs="黑体"/>
          <w:highlight w:val="none"/>
        </w:rPr>
      </w:pPr>
      <w:r>
        <w:rPr>
          <w:rFonts w:hint="eastAsia" w:ascii="黑体" w:hAnsi="黑体" w:eastAsia="黑体" w:cs="黑体"/>
          <w:highlight w:val="none"/>
        </w:rPr>
        <w:t xml:space="preserve">第一部分 </w:t>
      </w:r>
      <w:r>
        <w:rPr>
          <w:rFonts w:hint="eastAsia" w:ascii="黑体" w:hAnsi="黑体" w:eastAsia="黑体" w:cs="黑体"/>
          <w:highlight w:val="none"/>
          <w:lang w:val="en-US"/>
        </w:rPr>
        <w:t>部门</w:t>
      </w:r>
      <w:r>
        <w:rPr>
          <w:rFonts w:hint="eastAsia" w:ascii="黑体" w:hAnsi="黑体" w:eastAsia="黑体" w:cs="黑体"/>
          <w:highlight w:val="none"/>
        </w:rPr>
        <w:t>概况</w:t>
      </w:r>
    </w:p>
    <w:p>
      <w:pPr>
        <w:pStyle w:val="8"/>
        <w:tabs>
          <w:tab w:val="left" w:pos="2249"/>
        </w:tabs>
        <w:spacing w:line="360" w:lineRule="auto"/>
        <w:ind w:left="671" w:leftChars="300" w:hanging="11"/>
        <w:jc w:val="both"/>
        <w:rPr>
          <w:rFonts w:hint="eastAsia" w:ascii="仿宋" w:hAnsi="仿宋" w:eastAsia="仿宋" w:cs="仿宋"/>
          <w:highlight w:val="none"/>
        </w:rPr>
      </w:pPr>
      <w:r>
        <w:rPr>
          <w:rFonts w:hint="eastAsia" w:ascii="仿宋" w:hAnsi="仿宋" w:eastAsia="仿宋" w:cs="仿宋"/>
          <w:highlight w:val="none"/>
        </w:rPr>
        <w:t>一、主要职能</w:t>
      </w:r>
    </w:p>
    <w:p>
      <w:pPr>
        <w:pStyle w:val="8"/>
        <w:tabs>
          <w:tab w:val="left" w:pos="2249"/>
        </w:tabs>
        <w:spacing w:line="360" w:lineRule="auto"/>
        <w:ind w:left="671" w:leftChars="300" w:hanging="11"/>
        <w:jc w:val="both"/>
        <w:rPr>
          <w:rFonts w:hint="eastAsia" w:ascii="仿宋" w:hAnsi="仿宋" w:eastAsia="仿宋" w:cs="仿宋"/>
          <w:highlight w:val="none"/>
        </w:rPr>
      </w:pPr>
      <w:r>
        <w:rPr>
          <w:rFonts w:hint="eastAsia" w:ascii="仿宋" w:hAnsi="仿宋" w:eastAsia="仿宋" w:cs="仿宋"/>
          <w:highlight w:val="none"/>
        </w:rPr>
        <w:t>二、</w:t>
      </w:r>
      <w:r>
        <w:rPr>
          <w:rFonts w:hint="eastAsia" w:ascii="仿宋" w:hAnsi="仿宋" w:eastAsia="仿宋" w:cs="仿宋"/>
          <w:highlight w:val="none"/>
          <w:lang w:val="en-US"/>
        </w:rPr>
        <w:t>部门</w:t>
      </w:r>
      <w:r>
        <w:rPr>
          <w:rFonts w:hint="eastAsia" w:ascii="仿宋" w:hAnsi="仿宋" w:eastAsia="仿宋" w:cs="仿宋"/>
          <w:highlight w:val="none"/>
        </w:rPr>
        <w:t>机构设置及决算单位构成情况</w:t>
      </w:r>
    </w:p>
    <w:p>
      <w:pPr>
        <w:pStyle w:val="8"/>
        <w:tabs>
          <w:tab w:val="left" w:pos="2249"/>
        </w:tabs>
        <w:spacing w:line="360" w:lineRule="auto"/>
        <w:ind w:left="671" w:leftChars="300" w:hanging="11"/>
        <w:jc w:val="both"/>
        <w:rPr>
          <w:rFonts w:hint="eastAsia" w:ascii="仿宋" w:hAnsi="仿宋" w:eastAsia="仿宋" w:cs="仿宋"/>
          <w:highlight w:val="none"/>
        </w:rPr>
      </w:pPr>
      <w:r>
        <w:rPr>
          <w:rFonts w:hint="eastAsia" w:ascii="仿宋" w:hAnsi="仿宋" w:eastAsia="仿宋" w:cs="仿宋"/>
          <w:highlight w:val="none"/>
        </w:rPr>
        <w:t>三、</w:t>
      </w:r>
      <w:r>
        <w:rPr>
          <w:rFonts w:hint="eastAsia" w:ascii="仿宋" w:hAnsi="仿宋" w:eastAsia="仿宋" w:cs="仿宋"/>
          <w:highlight w:val="none"/>
          <w:lang w:eastAsia="zh-CN"/>
        </w:rPr>
        <w:t>2024</w:t>
      </w:r>
      <w:r>
        <w:rPr>
          <w:rFonts w:hint="eastAsia" w:ascii="仿宋" w:hAnsi="仿宋" w:eastAsia="仿宋" w:cs="仿宋"/>
          <w:highlight w:val="none"/>
        </w:rPr>
        <w:t>年度主要工作完成情况</w:t>
      </w:r>
    </w:p>
    <w:p>
      <w:pPr>
        <w:pStyle w:val="8"/>
        <w:spacing w:line="360" w:lineRule="auto"/>
        <w:ind w:left="671" w:leftChars="300" w:hanging="11"/>
        <w:jc w:val="both"/>
        <w:rPr>
          <w:rFonts w:hint="eastAsia" w:ascii="黑体" w:hAnsi="黑体" w:eastAsia="黑体" w:cs="黑体"/>
          <w:highlight w:val="none"/>
        </w:rPr>
      </w:pPr>
      <w:r>
        <w:rPr>
          <w:rFonts w:hint="eastAsia" w:ascii="黑体" w:hAnsi="黑体" w:eastAsia="黑体" w:cs="黑体"/>
          <w:highlight w:val="none"/>
          <w:lang w:val="en-US"/>
        </w:rPr>
        <w:t xml:space="preserve">第二部分 </w:t>
      </w:r>
      <w:r>
        <w:rPr>
          <w:rFonts w:hint="eastAsia" w:ascii="黑体" w:hAnsi="黑体" w:eastAsia="黑体" w:cs="黑体"/>
          <w:highlight w:val="none"/>
          <w:lang w:val="en-US" w:eastAsia="zh-CN"/>
        </w:rPr>
        <w:t>2024</w:t>
      </w:r>
      <w:r>
        <w:rPr>
          <w:rFonts w:hint="eastAsia" w:ascii="黑体" w:hAnsi="黑体" w:eastAsia="黑体" w:cs="黑体"/>
          <w:highlight w:val="none"/>
          <w:lang w:val="en-US"/>
        </w:rPr>
        <w:t>年度</w:t>
      </w:r>
      <w:r>
        <w:rPr>
          <w:rFonts w:ascii="黑体" w:hAnsi="黑体" w:eastAsia="黑体" w:cs="黑体"/>
          <w:highlight w:val="none"/>
          <w:u w:color="auto"/>
        </w:rPr>
        <w:t>部门决算表</w:t>
      </w:r>
    </w:p>
    <w:p>
      <w:pPr>
        <w:pStyle w:val="8"/>
        <w:spacing w:line="360" w:lineRule="auto"/>
        <w:ind w:left="671" w:leftChars="300" w:right="5774" w:hanging="11"/>
        <w:jc w:val="both"/>
        <w:rPr>
          <w:rFonts w:hint="eastAsia" w:ascii="仿宋" w:hAnsi="仿宋" w:eastAsia="仿宋" w:cs="仿宋"/>
          <w:highlight w:val="none"/>
        </w:rPr>
      </w:pPr>
      <w:r>
        <w:rPr>
          <w:rFonts w:hint="eastAsia" w:ascii="仿宋" w:hAnsi="仿宋" w:eastAsia="仿宋" w:cs="仿宋"/>
          <w:spacing w:val="-2"/>
          <w:highlight w:val="none"/>
        </w:rPr>
        <w:t>一、收入支出决算总表</w:t>
      </w:r>
    </w:p>
    <w:p>
      <w:pPr>
        <w:pStyle w:val="8"/>
        <w:spacing w:line="360" w:lineRule="auto"/>
        <w:ind w:left="671" w:leftChars="300" w:right="5774" w:hanging="11"/>
        <w:jc w:val="both"/>
        <w:rPr>
          <w:rFonts w:hint="eastAsia" w:ascii="仿宋" w:hAnsi="仿宋" w:eastAsia="仿宋" w:cs="仿宋"/>
          <w:highlight w:val="none"/>
        </w:rPr>
      </w:pPr>
      <w:r>
        <w:rPr>
          <w:rFonts w:hint="eastAsia" w:ascii="仿宋" w:hAnsi="仿宋" w:eastAsia="仿宋" w:cs="仿宋"/>
          <w:highlight w:val="none"/>
        </w:rPr>
        <w:t>二、收入决算表</w:t>
      </w:r>
    </w:p>
    <w:p>
      <w:pPr>
        <w:pStyle w:val="8"/>
        <w:spacing w:line="360" w:lineRule="auto"/>
        <w:ind w:left="671" w:leftChars="300" w:hanging="11"/>
        <w:jc w:val="both"/>
        <w:rPr>
          <w:rFonts w:hint="eastAsia" w:ascii="仿宋" w:hAnsi="仿宋" w:eastAsia="仿宋" w:cs="仿宋"/>
          <w:highlight w:val="none"/>
        </w:rPr>
      </w:pPr>
      <w:r>
        <w:rPr>
          <w:rFonts w:hint="eastAsia" w:ascii="仿宋" w:hAnsi="仿宋" w:eastAsia="仿宋" w:cs="仿宋"/>
          <w:w w:val="95"/>
          <w:highlight w:val="none"/>
        </w:rPr>
        <w:t>三、支出决算表</w:t>
      </w:r>
    </w:p>
    <w:p>
      <w:pPr>
        <w:pStyle w:val="8"/>
        <w:spacing w:line="360" w:lineRule="auto"/>
        <w:ind w:left="671" w:leftChars="300" w:hanging="11"/>
        <w:jc w:val="both"/>
        <w:rPr>
          <w:rFonts w:hint="eastAsia" w:ascii="仿宋" w:hAnsi="仿宋" w:eastAsia="仿宋" w:cs="仿宋"/>
          <w:highlight w:val="none"/>
        </w:rPr>
      </w:pPr>
      <w:r>
        <w:rPr>
          <w:rFonts w:hint="eastAsia" w:ascii="仿宋" w:hAnsi="仿宋" w:eastAsia="仿宋" w:cs="仿宋"/>
          <w:highlight w:val="none"/>
        </w:rPr>
        <w:t>四、财政拨款收入支出决算总表</w:t>
      </w:r>
    </w:p>
    <w:p>
      <w:pPr>
        <w:pStyle w:val="8"/>
        <w:spacing w:line="360" w:lineRule="auto"/>
        <w:ind w:left="671" w:leftChars="300" w:hanging="11"/>
        <w:jc w:val="both"/>
        <w:rPr>
          <w:rFonts w:hint="eastAsia" w:ascii="仿宋" w:hAnsi="仿宋" w:eastAsia="仿宋" w:cs="仿宋"/>
          <w:highlight w:val="none"/>
        </w:rPr>
      </w:pPr>
      <w:r>
        <w:rPr>
          <w:rFonts w:hint="eastAsia" w:ascii="仿宋" w:hAnsi="仿宋" w:eastAsia="仿宋" w:cs="仿宋"/>
          <w:highlight w:val="none"/>
        </w:rPr>
        <w:t>五、财政拨款支出决算表（功能科目）</w:t>
      </w:r>
    </w:p>
    <w:p>
      <w:pPr>
        <w:pStyle w:val="8"/>
        <w:spacing w:line="360" w:lineRule="auto"/>
        <w:ind w:left="671" w:leftChars="300" w:right="2894" w:hanging="11"/>
        <w:jc w:val="both"/>
        <w:rPr>
          <w:rFonts w:hint="eastAsia" w:ascii="仿宋" w:hAnsi="仿宋" w:eastAsia="仿宋" w:cs="仿宋"/>
          <w:highlight w:val="none"/>
        </w:rPr>
      </w:pPr>
      <w:r>
        <w:rPr>
          <w:rFonts w:hint="eastAsia" w:ascii="仿宋" w:hAnsi="仿宋" w:eastAsia="仿宋" w:cs="仿宋"/>
          <w:highlight w:val="none"/>
        </w:rPr>
        <w:t xml:space="preserve">六、财政拨款基本支出决算表（经济科目） </w:t>
      </w:r>
    </w:p>
    <w:p>
      <w:pPr>
        <w:pStyle w:val="8"/>
        <w:spacing w:line="360" w:lineRule="auto"/>
        <w:ind w:left="671" w:leftChars="300" w:right="2894" w:hanging="11"/>
        <w:jc w:val="both"/>
        <w:rPr>
          <w:rFonts w:hint="eastAsia" w:ascii="仿宋" w:hAnsi="仿宋" w:eastAsia="仿宋" w:cs="仿宋"/>
          <w:highlight w:val="none"/>
        </w:rPr>
      </w:pPr>
      <w:r>
        <w:rPr>
          <w:rFonts w:hint="eastAsia" w:ascii="仿宋" w:hAnsi="仿宋" w:eastAsia="仿宋" w:cs="仿宋"/>
          <w:highlight w:val="none"/>
        </w:rPr>
        <w:t>七、一般公共预算支出决算表（功能科目）</w:t>
      </w:r>
    </w:p>
    <w:p>
      <w:pPr>
        <w:pStyle w:val="8"/>
        <w:spacing w:line="360" w:lineRule="auto"/>
        <w:ind w:left="671" w:leftChars="300" w:hanging="11"/>
        <w:jc w:val="both"/>
        <w:rPr>
          <w:rFonts w:hint="eastAsia" w:ascii="仿宋" w:hAnsi="仿宋" w:eastAsia="仿宋" w:cs="仿宋"/>
          <w:highlight w:val="none"/>
        </w:rPr>
      </w:pPr>
      <w:r>
        <w:rPr>
          <w:rFonts w:hint="eastAsia" w:ascii="仿宋" w:hAnsi="仿宋" w:eastAsia="仿宋" w:cs="仿宋"/>
          <w:highlight w:val="none"/>
        </w:rPr>
        <w:t>八、一般公共预算基本支出决算表（经济科目）</w:t>
      </w:r>
    </w:p>
    <w:p>
      <w:pPr>
        <w:pStyle w:val="8"/>
        <w:spacing w:line="360" w:lineRule="auto"/>
        <w:ind w:left="671" w:leftChars="300" w:hanging="11"/>
        <w:jc w:val="both"/>
        <w:rPr>
          <w:rFonts w:hint="eastAsia" w:ascii="仿宋" w:hAnsi="仿宋" w:eastAsia="仿宋" w:cs="仿宋"/>
          <w:highlight w:val="none"/>
        </w:rPr>
      </w:pPr>
      <w:r>
        <w:rPr>
          <w:rFonts w:hint="eastAsia" w:ascii="仿宋" w:hAnsi="仿宋" w:eastAsia="仿宋" w:cs="仿宋"/>
          <w:highlight w:val="none"/>
        </w:rPr>
        <w:t>九、</w:t>
      </w:r>
      <w:r>
        <w:rPr>
          <w:rFonts w:hint="eastAsia" w:ascii="仿宋" w:hAnsi="仿宋" w:eastAsia="仿宋" w:cs="仿宋"/>
          <w:highlight w:val="none"/>
          <w:lang w:val="en-US"/>
        </w:rPr>
        <w:t>财政拨款</w:t>
      </w:r>
      <w:r>
        <w:rPr>
          <w:rFonts w:hint="eastAsia" w:ascii="仿宋" w:hAnsi="仿宋" w:eastAsia="仿宋" w:cs="仿宋"/>
          <w:highlight w:val="none"/>
        </w:rPr>
        <w:t>“三公”经费、会议费、培训费支出决算表</w:t>
      </w:r>
    </w:p>
    <w:p>
      <w:pPr>
        <w:pStyle w:val="8"/>
        <w:spacing w:line="360" w:lineRule="auto"/>
        <w:ind w:left="671" w:leftChars="300" w:hanging="11"/>
        <w:jc w:val="both"/>
        <w:rPr>
          <w:rFonts w:hint="eastAsia" w:ascii="仿宋" w:hAnsi="仿宋" w:eastAsia="仿宋" w:cs="仿宋"/>
          <w:highlight w:val="none"/>
        </w:rPr>
      </w:pPr>
      <w:r>
        <w:rPr>
          <w:rFonts w:hint="eastAsia" w:ascii="仿宋" w:hAnsi="仿宋" w:eastAsia="仿宋" w:cs="仿宋"/>
          <w:highlight w:val="none"/>
        </w:rPr>
        <w:t>十、政府性基金预算支出决算表</w:t>
      </w:r>
    </w:p>
    <w:p>
      <w:pPr>
        <w:pStyle w:val="8"/>
        <w:spacing w:line="360" w:lineRule="auto"/>
        <w:ind w:left="671" w:leftChars="300" w:right="2575" w:hanging="11"/>
        <w:jc w:val="both"/>
        <w:rPr>
          <w:rFonts w:hint="eastAsia" w:ascii="仿宋" w:hAnsi="仿宋" w:eastAsia="仿宋" w:cs="仿宋"/>
          <w:highlight w:val="none"/>
          <w:lang w:val="en-US"/>
        </w:rPr>
      </w:pPr>
      <w:r>
        <w:rPr>
          <w:rFonts w:hint="eastAsia" w:ascii="仿宋" w:hAnsi="仿宋" w:eastAsia="仿宋" w:cs="仿宋"/>
          <w:highlight w:val="none"/>
        </w:rPr>
        <w:t>十一、</w:t>
      </w:r>
      <w:r>
        <w:rPr>
          <w:rFonts w:hint="eastAsia" w:ascii="仿宋" w:hAnsi="仿宋" w:eastAsia="仿宋" w:cs="仿宋"/>
          <w:highlight w:val="none"/>
          <w:lang w:val="en-US"/>
        </w:rPr>
        <w:t>国有资本经营预算支出决算表</w:t>
      </w:r>
    </w:p>
    <w:p>
      <w:pPr>
        <w:pStyle w:val="8"/>
        <w:spacing w:line="360" w:lineRule="auto"/>
        <w:ind w:left="671" w:leftChars="300" w:right="2575" w:hanging="11"/>
        <w:jc w:val="both"/>
        <w:rPr>
          <w:rFonts w:hint="eastAsia" w:ascii="仿宋" w:hAnsi="仿宋" w:eastAsia="仿宋" w:cs="仿宋"/>
          <w:highlight w:val="none"/>
        </w:rPr>
      </w:pPr>
      <w:r>
        <w:rPr>
          <w:rFonts w:hint="eastAsia" w:ascii="仿宋" w:hAnsi="仿宋" w:eastAsia="仿宋" w:cs="仿宋"/>
          <w:highlight w:val="none"/>
        </w:rPr>
        <w:t>十</w:t>
      </w:r>
      <w:r>
        <w:rPr>
          <w:rFonts w:hint="eastAsia" w:ascii="仿宋" w:hAnsi="仿宋" w:eastAsia="仿宋" w:cs="仿宋"/>
          <w:highlight w:val="none"/>
          <w:lang w:val="en-US"/>
        </w:rPr>
        <w:t>二</w:t>
      </w:r>
      <w:r>
        <w:rPr>
          <w:rFonts w:hint="eastAsia" w:ascii="仿宋" w:hAnsi="仿宋" w:eastAsia="仿宋" w:cs="仿宋"/>
          <w:highlight w:val="none"/>
        </w:rPr>
        <w:t>、</w:t>
      </w:r>
      <w:r>
        <w:rPr>
          <w:rFonts w:hint="eastAsia" w:ascii="仿宋" w:hAnsi="仿宋" w:eastAsia="仿宋" w:cs="仿宋"/>
          <w:highlight w:val="none"/>
          <w:lang w:val="en-US"/>
        </w:rPr>
        <w:t>财政拨款</w:t>
      </w:r>
      <w:r>
        <w:rPr>
          <w:rFonts w:hint="eastAsia" w:ascii="仿宋" w:hAnsi="仿宋" w:eastAsia="仿宋" w:cs="仿宋"/>
          <w:highlight w:val="none"/>
        </w:rPr>
        <w:t>机关运行经费支出决算表</w:t>
      </w:r>
    </w:p>
    <w:p>
      <w:pPr>
        <w:pStyle w:val="8"/>
        <w:spacing w:line="360" w:lineRule="auto"/>
        <w:ind w:left="671" w:leftChars="300" w:right="2575" w:hanging="11"/>
        <w:jc w:val="both"/>
        <w:rPr>
          <w:rFonts w:hint="eastAsia" w:ascii="仿宋" w:hAnsi="仿宋" w:eastAsia="仿宋" w:cs="仿宋"/>
          <w:highlight w:val="none"/>
        </w:rPr>
      </w:pPr>
      <w:r>
        <w:rPr>
          <w:rFonts w:hint="eastAsia" w:ascii="仿宋" w:hAnsi="仿宋" w:eastAsia="仿宋" w:cs="仿宋"/>
          <w:highlight w:val="none"/>
        </w:rPr>
        <w:t>十</w:t>
      </w:r>
      <w:r>
        <w:rPr>
          <w:rFonts w:hint="eastAsia" w:ascii="仿宋" w:hAnsi="仿宋" w:eastAsia="仿宋" w:cs="仿宋"/>
          <w:highlight w:val="none"/>
          <w:lang w:val="en-US"/>
        </w:rPr>
        <w:t>三</w:t>
      </w:r>
      <w:r>
        <w:rPr>
          <w:rFonts w:hint="eastAsia" w:ascii="仿宋" w:hAnsi="仿宋" w:eastAsia="仿宋" w:cs="仿宋"/>
          <w:highlight w:val="none"/>
        </w:rPr>
        <w:t>、政府采购支出决算表</w:t>
      </w:r>
    </w:p>
    <w:p>
      <w:pPr>
        <w:pStyle w:val="8"/>
        <w:spacing w:line="360" w:lineRule="auto"/>
        <w:ind w:left="671" w:leftChars="300" w:hanging="11"/>
        <w:jc w:val="both"/>
        <w:rPr>
          <w:rFonts w:hint="eastAsia" w:ascii="黑体" w:hAnsi="黑体" w:eastAsia="黑体" w:cs="黑体"/>
          <w:highlight w:val="none"/>
          <w:lang w:val="en-US"/>
        </w:rPr>
      </w:pPr>
      <w:r>
        <w:rPr>
          <w:rFonts w:hint="eastAsia" w:ascii="黑体" w:hAnsi="黑体" w:eastAsia="黑体" w:cs="黑体"/>
          <w:highlight w:val="none"/>
          <w:lang w:val="en-US"/>
        </w:rPr>
        <w:t xml:space="preserve">第三部分 </w:t>
      </w:r>
      <w:r>
        <w:rPr>
          <w:rFonts w:hint="eastAsia" w:ascii="黑体" w:hAnsi="黑体" w:eastAsia="黑体" w:cs="黑体"/>
          <w:highlight w:val="none"/>
          <w:lang w:val="en-US" w:eastAsia="zh-CN"/>
        </w:rPr>
        <w:t>2024</w:t>
      </w:r>
      <w:r>
        <w:rPr>
          <w:rFonts w:hint="eastAsia" w:ascii="黑体" w:hAnsi="黑体" w:eastAsia="黑体" w:cs="黑体"/>
          <w:highlight w:val="none"/>
          <w:lang w:val="en-US"/>
        </w:rPr>
        <w:t>年度</w:t>
      </w:r>
      <w:r>
        <w:rPr>
          <w:rFonts w:ascii="黑体" w:hAnsi="黑体" w:eastAsia="黑体" w:cs="黑体"/>
          <w:highlight w:val="none"/>
          <w:u w:color="auto"/>
        </w:rPr>
        <w:t>部门决算情况说明</w:t>
      </w:r>
    </w:p>
    <w:p>
      <w:pPr>
        <w:pStyle w:val="8"/>
        <w:spacing w:line="360" w:lineRule="auto"/>
        <w:ind w:left="671" w:leftChars="300" w:hanging="11"/>
        <w:jc w:val="both"/>
        <w:rPr>
          <w:rFonts w:hint="eastAsia" w:ascii="仿宋" w:hAnsi="仿宋" w:eastAsia="仿宋" w:cs="仿宋"/>
          <w:b/>
          <w:bCs/>
          <w:color w:val="000000"/>
          <w:sz w:val="30"/>
          <w:szCs w:val="30"/>
          <w:highlight w:val="none"/>
          <w:lang w:val="en-US" w:bidi="ar"/>
        </w:rPr>
      </w:pPr>
      <w:r>
        <w:rPr>
          <w:rFonts w:hint="eastAsia" w:ascii="黑体" w:hAnsi="黑体" w:eastAsia="黑体" w:cs="黑体"/>
          <w:highlight w:val="none"/>
          <w:lang w:val="en-US"/>
        </w:rPr>
        <w:t>第四部分 名词解释</w:t>
      </w:r>
    </w:p>
    <w:p>
      <w:pPr>
        <w:pStyle w:val="8"/>
        <w:spacing w:line="235" w:lineRule="auto"/>
        <w:ind w:left="669" w:leftChars="300" w:right="2414" w:hanging="9"/>
        <w:jc w:val="both"/>
        <w:rPr>
          <w:rFonts w:hint="eastAsia" w:ascii="仿宋" w:hAnsi="仿宋" w:eastAsia="仿宋" w:cs="仿宋"/>
          <w:highlight w:val="none"/>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pPr>
        <w:pStyle w:val="8"/>
        <w:spacing w:before="1"/>
        <w:rPr>
          <w:rFonts w:hint="eastAsia" w:ascii="华文仿宋" w:hAnsi="华文仿宋" w:eastAsia="华文仿宋" w:cs="仿宋"/>
          <w:sz w:val="14"/>
          <w:highlight w:val="none"/>
        </w:rPr>
      </w:pPr>
    </w:p>
    <w:p>
      <w:pPr>
        <w:pStyle w:val="5"/>
        <w:tabs>
          <w:tab w:val="left" w:pos="4395"/>
        </w:tabs>
        <w:spacing w:line="606" w:lineRule="exact"/>
        <w:ind w:right="504" w:rightChars="229"/>
        <w:rPr>
          <w:rFonts w:hint="eastAsia" w:ascii="宋体" w:hAnsi="宋体" w:eastAsia="宋体" w:cs="宋体"/>
          <w:b/>
          <w:bCs/>
          <w:highlight w:val="none"/>
        </w:rPr>
      </w:pPr>
      <w:r>
        <w:rPr>
          <w:rFonts w:hint="eastAsia" w:ascii="宋体" w:hAnsi="宋体" w:eastAsia="宋体" w:cs="宋体"/>
          <w:b/>
          <w:bCs/>
          <w:highlight w:val="none"/>
        </w:rPr>
        <w:t>第一部分</w:t>
      </w:r>
      <w:r>
        <w:rPr>
          <w:rFonts w:hint="eastAsia" w:ascii="宋体" w:hAnsi="宋体" w:eastAsia="宋体" w:cs="宋体"/>
          <w:b/>
          <w:bCs/>
          <w:highlight w:val="none"/>
          <w:lang w:val="en-US"/>
        </w:rPr>
        <w:t xml:space="preserve"> </w:t>
      </w:r>
      <w:r>
        <w:rPr>
          <w:rFonts w:hint="eastAsia" w:ascii="宋体" w:hAnsi="宋体" w:eastAsia="宋体" w:cs="宋体"/>
          <w:b/>
          <w:bCs/>
          <w:highlight w:val="none"/>
        </w:rPr>
        <w:t>部门概况</w:t>
      </w:r>
    </w:p>
    <w:p>
      <w:pPr>
        <w:ind w:right="504" w:rightChars="229"/>
        <w:jc w:val="both"/>
        <w:rPr>
          <w:rFonts w:hint="eastAsia"/>
          <w:highlight w:val="none"/>
        </w:rPr>
      </w:pPr>
    </w:p>
    <w:p>
      <w:pPr>
        <w:pStyle w:val="8"/>
        <w:spacing w:line="360" w:lineRule="auto"/>
        <w:ind w:left="440" w:leftChars="200" w:right="504" w:rightChars="229" w:firstLine="658"/>
        <w:jc w:val="both"/>
        <w:outlineLvl w:val="1"/>
        <w:rPr>
          <w:rFonts w:hint="eastAsia" w:ascii="黑体" w:hAnsi="黑体" w:eastAsia="黑体" w:cs="黑体"/>
          <w:highlight w:val="none"/>
        </w:rPr>
      </w:pPr>
      <w:r>
        <w:rPr>
          <w:rFonts w:hint="eastAsia" w:ascii="黑体" w:hAnsi="黑体" w:eastAsia="黑体" w:cs="黑体"/>
          <w:highlight w:val="none"/>
        </w:rPr>
        <w:t>一、主要职能</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（一）贯彻落实党和国家的各项路线、方针、政策。严格执行国家和省有关法律、法规，保证党和国家的政令畅通。同时，研究决定本区域内政治、经济以及文化事业发展的重大问题。</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二）编制经济发展规划；营造经济发展环境，提供示范引导和政策服务；加强经济管理和统计工作；指导经济结构调整和推进经济发展方式的转变；因地制宜组织发展区域特色经济；引导和促进新型农村专业合作经济组织的发展，提高农民进入市场的组织化程度。</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三）编制区域内各项社会事业发展规划；完善社会化服务体系，改革服务方式，拓宽服务渠道，为群众提供政策、科技、信息、就业等方面的服务，引导劳动力有序转移；完善社会保障、公共卫生和公共基础设施服务体系，推进各项公益事业的发展。</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四）负责区域内的教育、科学、文化、卫生、体育、水利、财政、民政、统计、审计、环境卫生、计划生育等工作；推进社会建设、创新社会管理，积极发挥社团、行业组织和社会中介组织的作用；依法履行上级赋予的行政处罚权和监督管理权，配合上级行政执法机关做好有关行政执法工作。</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五）加强法制宣传教育，提高群众的民主法治意识，推进依法行政，严格按照法律法规履行职责；构建公共安全防控体系，做好安全生产、防汛、防火、防疫、食品药品安全等各项工作；构建权益保障体系，依法保护各类经济组织和公民的合法权益；构建街道、社区两级新的矛盾调处机制，实现基层信访工作制度化，统筹推进平安创建，强化城乡社会治安综合治理，化解各种社会矛盾，促进和谐社会建设，确保社会稳定。</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六）加强党的基层组织建设和干部队伍建设；全面落实基层组织工作规则、居务财务党务公开等制度，进一步改进和加强以基层党组织为核心的居民自治机制；增强党的组织生机活力，充分发挥其推动发展，服务群众，凝聚人心，促进和谐的作用，实现新农村建设和农村经济的全面发展。</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（七）完成新区党工委、管委会交办的其他事项。</w:t>
      </w:r>
    </w:p>
    <w:p>
      <w:pPr>
        <w:pStyle w:val="8"/>
        <w:spacing w:line="360" w:lineRule="auto"/>
        <w:ind w:left="440" w:leftChars="200" w:right="504" w:rightChars="229" w:firstLine="658"/>
        <w:jc w:val="both"/>
        <w:outlineLvl w:val="1"/>
        <w:rPr>
          <w:rFonts w:hint="eastAsia" w:ascii="黑体" w:hAnsi="黑体" w:eastAsia="黑体" w:cs="黑体"/>
          <w:highlight w:val="none"/>
          <w:lang w:val="en-US"/>
        </w:rPr>
      </w:pPr>
      <w:r>
        <w:rPr>
          <w:rFonts w:hint="eastAsia" w:ascii="黑体" w:hAnsi="黑体" w:eastAsia="黑体" w:cs="黑体"/>
          <w:highlight w:val="none"/>
        </w:rPr>
        <w:t>二、</w:t>
      </w:r>
      <w:r>
        <w:rPr>
          <w:rFonts w:hint="eastAsia" w:ascii="黑体" w:hAnsi="黑体" w:eastAsia="黑体" w:cs="黑体"/>
          <w:highlight w:val="none"/>
          <w:lang w:val="en-US"/>
        </w:rPr>
        <w:t>部门</w:t>
      </w:r>
      <w:r>
        <w:rPr>
          <w:rFonts w:hint="eastAsia" w:ascii="黑体" w:hAnsi="黑体" w:eastAsia="黑体" w:cs="黑体"/>
          <w:highlight w:val="none"/>
        </w:rPr>
        <w:t>机构设置及决算单位构成情况</w:t>
      </w:r>
    </w:p>
    <w:p>
      <w:pPr>
        <w:pStyle w:val="8"/>
        <w:spacing w:line="360" w:lineRule="auto"/>
        <w:ind w:left="440" w:leftChars="200" w:right="504" w:rightChars="229" w:firstLine="658"/>
        <w:jc w:val="both"/>
        <w:rPr>
          <w:rFonts w:hint="eastAsia" w:ascii="仿宋" w:hAnsi="仿宋" w:eastAsia="仿宋" w:cs="仿宋"/>
          <w:highlight w:val="none"/>
          <w:lang w:val="en-US" w:eastAsia="zh-CN"/>
        </w:rPr>
      </w:pPr>
      <w:r>
        <w:rPr>
          <w:rFonts w:ascii="仿宋" w:hAnsi="仿宋" w:eastAsia="仿宋" w:cs="仿宋"/>
          <w:highlight w:val="none"/>
          <w:u w:color="auto"/>
        </w:rPr>
        <w:t>1.</w:t>
      </w:r>
      <w:r>
        <w:rPr>
          <w:rFonts w:hint="eastAsia" w:ascii="仿宋" w:hAnsi="仿宋" w:eastAsia="仿宋" w:cs="仿宋"/>
          <w:highlight w:val="none"/>
        </w:rPr>
        <w:t>根据</w:t>
      </w:r>
      <w:r>
        <w:rPr>
          <w:rFonts w:hint="eastAsia" w:ascii="仿宋" w:hAnsi="仿宋" w:eastAsia="仿宋" w:cs="仿宋"/>
          <w:highlight w:val="none"/>
          <w:lang w:val="en-US"/>
        </w:rPr>
        <w:t>部门</w:t>
      </w:r>
      <w:r>
        <w:rPr>
          <w:rFonts w:hint="eastAsia" w:ascii="仿宋" w:hAnsi="仿宋" w:eastAsia="仿宋" w:cs="仿宋"/>
          <w:highlight w:val="none"/>
        </w:rPr>
        <w:t>职责分工</w:t>
      </w:r>
      <w:r>
        <w:rPr>
          <w:rFonts w:hint="eastAsia" w:ascii="仿宋" w:hAnsi="仿宋" w:eastAsia="仿宋" w:cs="仿宋"/>
          <w:highlight w:val="none"/>
          <w:lang w:val="en-US"/>
        </w:rPr>
        <w:t>，</w:t>
      </w:r>
      <w:r>
        <w:rPr>
          <w:rFonts w:ascii="仿宋" w:hAnsi="仿宋" w:eastAsia="仿宋" w:cs="仿宋"/>
          <w:highlight w:val="none"/>
          <w:u w:color="auto"/>
        </w:rPr>
        <w:t>本部门内设机构包括综合保障办、党群工作办、协作发展办、社会事业办、平安建设办、城市管理办</w:t>
      </w:r>
      <w:r>
        <w:rPr>
          <w:rFonts w:hint="eastAsia" w:ascii="仿宋" w:hAnsi="仿宋" w:eastAsia="仿宋" w:cs="仿宋"/>
          <w:highlight w:val="none"/>
          <w:u w:color="auto"/>
          <w:lang w:eastAsia="zh-CN"/>
        </w:rPr>
        <w:t>，以及</w:t>
      </w:r>
      <w:r>
        <w:rPr>
          <w:rFonts w:ascii="仿宋" w:hAnsi="仿宋" w:eastAsia="仿宋" w:cs="仿宋"/>
          <w:highlight w:val="none"/>
          <w:u w:color="auto"/>
        </w:rPr>
        <w:t>长芦街道综合执法大队、长芦街道便民服务中心、长芦街道市民诉求处置中心、长芦街道党群服务中心等4家公益一类全额拨款事业单位。另按规定</w:t>
      </w:r>
      <w:bookmarkStart w:id="0" w:name="_GoBack"/>
      <w:bookmarkEnd w:id="0"/>
      <w:r>
        <w:rPr>
          <w:rFonts w:ascii="仿宋" w:hAnsi="仿宋" w:eastAsia="仿宋" w:cs="仿宋"/>
          <w:highlight w:val="none"/>
          <w:u w:color="auto"/>
        </w:rPr>
        <w:t>设置街道纪检监察机构。本部门无下属单位。</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hint="eastAsia" w:ascii="仿宋" w:hAnsi="仿宋" w:eastAsia="仿宋" w:cs="仿宋"/>
          <w:highlight w:val="none"/>
          <w:lang w:val="en-US"/>
        </w:rPr>
        <w:t>2.</w:t>
      </w:r>
      <w:r>
        <w:rPr>
          <w:rFonts w:hint="eastAsia" w:ascii="仿宋" w:hAnsi="仿宋" w:eastAsia="仿宋" w:cs="仿宋"/>
          <w:highlight w:val="none"/>
        </w:rPr>
        <w:t>从决算单位构成看</w:t>
      </w:r>
      <w:r>
        <w:rPr>
          <w:rFonts w:hint="eastAsia" w:ascii="仿宋" w:hAnsi="仿宋" w:eastAsia="仿宋" w:cs="仿宋"/>
          <w:highlight w:val="none"/>
          <w:lang w:val="en-US"/>
        </w:rPr>
        <w:t>，</w:t>
      </w:r>
      <w:r>
        <w:rPr>
          <w:rFonts w:hint="eastAsia" w:ascii="仿宋" w:hAnsi="仿宋" w:eastAsia="仿宋" w:cs="仿宋"/>
          <w:highlight w:val="none"/>
        </w:rPr>
        <w:t>纳入本</w:t>
      </w:r>
      <w:r>
        <w:rPr>
          <w:rFonts w:hint="eastAsia" w:ascii="仿宋" w:hAnsi="仿宋" w:eastAsia="仿宋" w:cs="仿宋"/>
          <w:highlight w:val="none"/>
          <w:lang w:val="en-US"/>
        </w:rPr>
        <w:t>部门</w:t>
      </w:r>
      <w:r>
        <w:rPr>
          <w:rFonts w:hint="eastAsia" w:ascii="仿宋" w:hAnsi="仿宋" w:eastAsia="仿宋" w:cs="仿宋"/>
          <w:highlight w:val="none"/>
          <w:lang w:val="en-US" w:eastAsia="zh-CN"/>
        </w:rPr>
        <w:t>2024</w:t>
      </w:r>
      <w:r>
        <w:rPr>
          <w:rFonts w:hint="eastAsia" w:ascii="仿宋" w:hAnsi="仿宋" w:eastAsia="仿宋" w:cs="仿宋"/>
          <w:highlight w:val="none"/>
        </w:rPr>
        <w:t>年</w:t>
      </w:r>
      <w:r>
        <w:rPr>
          <w:rFonts w:hint="eastAsia" w:ascii="仿宋" w:hAnsi="仿宋" w:eastAsia="仿宋" w:cs="仿宋"/>
          <w:highlight w:val="none"/>
          <w:lang w:val="en-US"/>
        </w:rPr>
        <w:t>部门</w:t>
      </w:r>
      <w:r>
        <w:rPr>
          <w:rFonts w:hint="eastAsia" w:ascii="仿宋" w:hAnsi="仿宋" w:eastAsia="仿宋" w:cs="仿宋"/>
          <w:highlight w:val="none"/>
        </w:rPr>
        <w:t>汇总决算编制范围的预算单位共计</w:t>
      </w:r>
      <w:r>
        <w:rPr>
          <w:rFonts w:ascii="仿宋" w:hAnsi="仿宋" w:eastAsia="仿宋" w:cs="仿宋"/>
          <w:highlight w:val="none"/>
          <w:u w:color="auto"/>
        </w:rPr>
        <w:t>1</w:t>
      </w:r>
      <w:r>
        <w:rPr>
          <w:rFonts w:hint="eastAsia" w:ascii="仿宋" w:hAnsi="仿宋" w:eastAsia="仿宋" w:cs="仿宋"/>
          <w:highlight w:val="none"/>
        </w:rPr>
        <w:t>家</w:t>
      </w:r>
      <w:r>
        <w:rPr>
          <w:rFonts w:hint="eastAsia" w:ascii="仿宋" w:hAnsi="仿宋" w:eastAsia="仿宋" w:cs="仿宋"/>
          <w:highlight w:val="none"/>
          <w:lang w:val="en-US"/>
        </w:rPr>
        <w:t>，</w:t>
      </w:r>
      <w:r>
        <w:rPr>
          <w:rFonts w:hint="eastAsia" w:ascii="仿宋" w:hAnsi="仿宋" w:eastAsia="仿宋" w:cs="仿宋"/>
          <w:highlight w:val="none"/>
        </w:rPr>
        <w:t>具体包括</w:t>
      </w:r>
      <w:r>
        <w:rPr>
          <w:rFonts w:hint="eastAsia" w:ascii="仿宋" w:hAnsi="仿宋" w:eastAsia="仿宋" w:cs="仿宋"/>
          <w:highlight w:val="none"/>
          <w:lang w:val="en-US"/>
        </w:rPr>
        <w:t>：</w:t>
      </w:r>
      <w:r>
        <w:rPr>
          <w:rFonts w:ascii="仿宋" w:hAnsi="仿宋" w:eastAsia="仿宋" w:cs="仿宋"/>
          <w:highlight w:val="none"/>
          <w:u w:color="auto"/>
        </w:rPr>
        <w:t>南京市六合区人民政府长芦街道办事处本级。</w:t>
      </w:r>
    </w:p>
    <w:p>
      <w:pPr>
        <w:pStyle w:val="8"/>
        <w:spacing w:line="360" w:lineRule="auto"/>
        <w:ind w:left="440" w:leftChars="200" w:right="504" w:rightChars="229" w:firstLine="658"/>
        <w:jc w:val="both"/>
        <w:outlineLvl w:val="1"/>
        <w:rPr>
          <w:rFonts w:hint="eastAsia" w:ascii="黑体" w:hAnsi="黑体" w:eastAsia="黑体" w:cs="黑体"/>
          <w:highlight w:val="none"/>
        </w:rPr>
      </w:pPr>
      <w:r>
        <w:rPr>
          <w:rFonts w:hint="eastAsia" w:ascii="黑体" w:hAnsi="黑体" w:eastAsia="黑体" w:cs="黑体"/>
          <w:highlight w:val="none"/>
        </w:rPr>
        <w:t>三、</w:t>
      </w:r>
      <w:r>
        <w:rPr>
          <w:rFonts w:hint="eastAsia" w:ascii="黑体" w:hAnsi="黑体" w:eastAsia="黑体" w:cs="黑体"/>
          <w:highlight w:val="none"/>
          <w:lang w:eastAsia="zh-CN"/>
        </w:rPr>
        <w:t>2024</w:t>
      </w:r>
      <w:r>
        <w:rPr>
          <w:rFonts w:hint="eastAsia" w:ascii="黑体" w:hAnsi="黑体" w:eastAsia="黑体" w:cs="黑体"/>
          <w:highlight w:val="none"/>
        </w:rPr>
        <w:t>年度主要工作完成情况</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（一）聚力产业引领，经济质效稳步提升</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一是经济运行稳中有进。全年完成一般公共预算收入3.</w:t>
      </w:r>
      <w:r>
        <w:rPr>
          <w:rFonts w:hint="eastAsia" w:ascii="仿宋" w:hAnsi="仿宋" w:eastAsia="仿宋" w:cs="仿宋"/>
          <w:highlight w:val="none"/>
          <w:u w:color="auto"/>
          <w:lang w:val="en-US" w:eastAsia="zh-CN"/>
        </w:rPr>
        <w:t>1</w:t>
      </w:r>
      <w:r>
        <w:rPr>
          <w:rFonts w:ascii="仿宋" w:hAnsi="仿宋" w:eastAsia="仿宋" w:cs="仿宋"/>
          <w:highlight w:val="none"/>
          <w:u w:color="auto"/>
        </w:rPr>
        <w:t>2亿元，同比增长</w:t>
      </w:r>
      <w:r>
        <w:rPr>
          <w:rFonts w:hint="eastAsia" w:ascii="仿宋" w:hAnsi="仿宋" w:eastAsia="仿宋" w:cs="仿宋"/>
          <w:highlight w:val="none"/>
          <w:u w:color="auto"/>
          <w:lang w:val="en-US" w:eastAsia="zh-CN"/>
        </w:rPr>
        <w:t>4.55</w:t>
      </w:r>
      <w:r>
        <w:rPr>
          <w:rFonts w:ascii="仿宋" w:hAnsi="仿宋" w:eastAsia="仿宋" w:cs="仿宋"/>
          <w:highlight w:val="none"/>
          <w:u w:color="auto"/>
        </w:rPr>
        <w:t>%；</w:t>
      </w:r>
      <w:r>
        <w:rPr>
          <w:rFonts w:hint="eastAsia" w:ascii="仿宋" w:hAnsi="仿宋" w:eastAsia="仿宋" w:cs="仿宋"/>
          <w:highlight w:val="none"/>
          <w:u w:color="auto"/>
        </w:rPr>
        <w:t>完成全社会固定资产投资3.12亿元，同比增长3.9%；完成规上服务业营收13.28亿元，同比增长6.19%；完成限上贸易销售额280.58亿元，同比增长5.67%；完成限上零售额6.21亿元，同比增长14.15%，规上服务业营收、限上贸易销售额、限上零售额等指标均排名街道组前列。</w:t>
      </w:r>
      <w:r>
        <w:rPr>
          <w:rFonts w:ascii="仿宋" w:hAnsi="仿宋" w:eastAsia="仿宋" w:cs="仿宋"/>
          <w:highlight w:val="none"/>
          <w:u w:color="auto"/>
        </w:rPr>
        <w:t>二是内生动力积蓄增强。紧盯“四大行动”主线任务，强服务、攻项目、链研产、抓招商，班子成员复合分工，人手领衔一个行动小组，抓招商优服务，99家重点企业全覆盖走访，“芦韵智服”企业服务小程序焕新升级，共协调解决涉企诉求48件；发力打造长芦研产转化基地、长芦创新研发中心、长芦现代服务产业园及长芦高效农业示范区“四大载体”，本年度推进熟地储备109.5亩，其中：首期投资6亿元的中江科技·江北新区长芦数智产业园项目实质性启动；牵手科投集团，打造建设特色园区，该园区规划建设高标准厂房；分批次启动长芦高效农业示范区高标准农田建设。三是发展活力加快释放。牢固树立“项目为王”理念，全员上阵猛攻重点项目。完成产业类新开工亿元以上重大项目1个；亿元以下产业项目开工数11个，开工率达91.67%；完成新区重大新开工项目投资额0.66亿元；完成新开工亿元以下项目投资额1.56亿元。净增高新技术企业数、高新技术产业投资、从“研”到“产”项目数、研发项目招引数等8项指标已达全年目标。</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（二）坚守以民为本，乡村振兴全面发力</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一是提速基础设施补短。扎实推进乡村建设行动，有序实施街区市政道路提档升级、方巷小区微景观改造等年度城建计划项目1</w:t>
      </w:r>
      <w:r>
        <w:rPr>
          <w:rFonts w:hint="eastAsia" w:ascii="仿宋" w:hAnsi="仿宋" w:eastAsia="仿宋" w:cs="仿宋"/>
          <w:highlight w:val="none"/>
          <w:u w:color="auto"/>
          <w:lang w:val="en-US" w:eastAsia="zh-CN"/>
        </w:rPr>
        <w:t>8</w:t>
      </w:r>
      <w:r>
        <w:rPr>
          <w:rFonts w:ascii="仿宋" w:hAnsi="仿宋" w:eastAsia="仿宋" w:cs="仿宋"/>
          <w:highlight w:val="none"/>
          <w:u w:color="auto"/>
        </w:rPr>
        <w:t>个；聚焦急难愁盼，统筹实施“一事一议”项目、为民服务专项资金类项目28个。二是提档美丽乡村品质。高标准打造新犁湾市级宜居村，完成白玉社区玉龙路提档升级工作，乡村面貌焕然一新；有序启动现代农业示范园区规划建设，以长芦街道粮食种植主体服务联盟为纽带，有效整合辖区农文旅资源，持续擦亮长芦臻米、芦园草莓等特色农产品品牌。三是有序实施征拆工作。完成江北新材料科技园卫生防护距离环境整治项目（二期）涉及协议签订及房屋拆除工作；集中精力做好涉及项目遗留户攻坚扫尾工作；稳步开展长芦中心社区环境综合整治项目。</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（三）聚焦安全稳定，和谐氛围日益浓厚</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一是守牢安全防线。结合“三年治本攻坚”专项整治、安全大排查大整治、电动自行车全链条等各类专项整治行动，开展重点行业领域安全检查</w:t>
      </w:r>
      <w:r>
        <w:rPr>
          <w:rFonts w:hint="eastAsia" w:ascii="仿宋" w:hAnsi="仿宋" w:eastAsia="仿宋" w:cs="仿宋"/>
          <w:highlight w:val="none"/>
          <w:u w:color="auto"/>
        </w:rPr>
        <w:t>351家次，发现安全隐患769项</w:t>
      </w:r>
      <w:r>
        <w:rPr>
          <w:rFonts w:ascii="仿宋" w:hAnsi="仿宋" w:eastAsia="仿宋" w:cs="仿宋"/>
          <w:highlight w:val="none"/>
          <w:u w:color="auto"/>
        </w:rPr>
        <w:t>，整改完成率100%；完成省、市、新区安全生产反馈问题整改17项；完成2家重点单位“三合一”整治，推进30家单位开展“拆窗破网”工作；新增、改造居民小区充电车棚205组；完成</w:t>
      </w:r>
      <w:r>
        <w:rPr>
          <w:rFonts w:hint="eastAsia" w:ascii="仿宋" w:hAnsi="仿宋" w:eastAsia="仿宋" w:cs="仿宋"/>
          <w:highlight w:val="none"/>
          <w:u w:color="auto"/>
          <w:lang w:val="en-US" w:eastAsia="zh-CN"/>
        </w:rPr>
        <w:t>90</w:t>
      </w:r>
      <w:r>
        <w:rPr>
          <w:rFonts w:ascii="仿宋" w:hAnsi="仿宋" w:eastAsia="仿宋" w:cs="仿宋"/>
          <w:highlight w:val="none"/>
          <w:u w:color="auto"/>
        </w:rPr>
        <w:t>户困难居民“安心用气”改造工作；稳妥实施7户农村危房改造。二是抓实生态环保。扎实办好第二轮省环保督察涉及信访件调查处理工作；完成原南京龙溪化工等5个高风险地块土壤调查、风险评估工作；做好第三轮中央环保督察迎查工作；持续攻坚做好大气、土壤污染防治和秸秆禁烧等工作；做好长江“十年禁渔”工作。三是全力保障重大项目。有力保障仙新路过江通道项目主线顺利施工；稳妥做好金陵石化高端日化品技改升级、光学级液晶新材料等4个项目落地涉及土地等保障工作。</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（四）突出创新赋能，基层治理迭代升级</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一是</w:t>
      </w:r>
      <w:r>
        <w:rPr>
          <w:rFonts w:hint="eastAsia" w:ascii="仿宋" w:hAnsi="仿宋" w:eastAsia="仿宋" w:cs="仿宋"/>
          <w:highlight w:val="none"/>
          <w:u w:color="auto"/>
        </w:rPr>
        <w:t>夯实网格基础，巩固“党建+网格+微网格”治理体系，持续建强25个网格党支部、50个综合网格、171个微网格。深化“1+3+N”组团式服务体系，接续开展机关人员下沉网格工作，共开展政策宣传、问题协调、困难帮扶等2160次，提炼典型案例587</w:t>
      </w:r>
      <w:r>
        <w:rPr>
          <w:rFonts w:hint="eastAsia" w:ascii="仿宋" w:hAnsi="仿宋" w:eastAsia="仿宋" w:cs="仿宋"/>
          <w:highlight w:val="none"/>
          <w:u w:color="auto"/>
          <w:lang w:eastAsia="zh-CN"/>
        </w:rPr>
        <w:t>个</w:t>
      </w:r>
      <w:r>
        <w:rPr>
          <w:rFonts w:hint="eastAsia" w:ascii="仿宋" w:hAnsi="仿宋" w:eastAsia="仿宋" w:cs="仿宋"/>
          <w:highlight w:val="none"/>
          <w:u w:color="auto"/>
        </w:rPr>
        <w:t>。</w:t>
      </w:r>
      <w:r>
        <w:rPr>
          <w:rFonts w:ascii="仿宋" w:hAnsi="仿宋" w:eastAsia="仿宋" w:cs="仿宋"/>
          <w:highlight w:val="none"/>
          <w:u w:color="auto"/>
        </w:rPr>
        <w:t>二是强化“智治”支撑。建强街道社会治理一体化平台，用好“千里眼”“云广播”，上线AI预警技术赋能智慧安防设备，加强试点示范，方巷小区“芦韵e家”智慧小区程序上线运行，启动“方巷共智农园”改造项目，多措并举探索社区治理新路径。三是优化民生保障。梳理新增第三批涉企业服务、警务、水务等帮办代办事项16项，</w:t>
      </w:r>
      <w:r>
        <w:rPr>
          <w:rFonts w:hint="eastAsia" w:ascii="仿宋" w:hAnsi="仿宋" w:eastAsia="仿宋" w:cs="仿宋"/>
          <w:highlight w:val="none"/>
          <w:u w:color="auto"/>
          <w:lang w:eastAsia="zh-CN"/>
        </w:rPr>
        <w:t>全</w:t>
      </w:r>
      <w:r>
        <w:rPr>
          <w:rFonts w:ascii="仿宋" w:hAnsi="仿宋" w:eastAsia="仿宋" w:cs="仿宋"/>
          <w:highlight w:val="none"/>
          <w:u w:color="auto"/>
        </w:rPr>
        <w:t>年完成帮办代办服务件561件；持续推进“15分钟医保服务圈”建设，实现社区（村）医保公共服务全覆盖；六类重点困难老人、七类重点残疾人纳入钉钉网格化管理，每周走访关爱到位；扎实推进乡村医疗互助保障工作。</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（五）坚持红色领航，基层党建走深走实</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highlight w:val="none"/>
          <w:u w:color="auto"/>
        </w:rPr>
        <w:t>一是强化思想淬炼。扎实开展党纪学习教育；开展党工委理论学习中心组学习14期；开办芦韵课堂11期；</w:t>
      </w:r>
      <w:r>
        <w:rPr>
          <w:rFonts w:hint="eastAsia" w:ascii="仿宋" w:hAnsi="仿宋" w:eastAsia="仿宋" w:cs="仿宋"/>
          <w:highlight w:val="none"/>
          <w:u w:color="auto"/>
        </w:rPr>
        <w:t>常态化开展意识形态领域风险排查整治工作。二是强化组织引领。选优配强社区（村）党组织书记，充实社区（村）“两委”成员后备力量；扎实推进“学仙林、见行动、优治理”活动及“双结对、双促进”工作。</w:t>
      </w:r>
      <w:r>
        <w:rPr>
          <w:rFonts w:ascii="仿宋" w:hAnsi="仿宋" w:eastAsia="仿宋" w:cs="仿宋"/>
          <w:highlight w:val="none"/>
          <w:u w:color="auto"/>
        </w:rPr>
        <w:t>三是强化实践锻炼。四是强化规矩约束。开办“芦韵清风”廉政课堂；抓好巡察整改落实，修订完善街道“三重一大”议事决策规则、建设工程项目管理办法等在用制度，强化制度执行。五是倾力文化传承。第二届长芦非遗季成功举办，江北新区非物质文化遗产研究院长芦街道分院同步落成；做好六甲社区沈桂华等一批道德模范事例宣传工作。</w:t>
      </w:r>
    </w:p>
    <w:p>
      <w:pPr>
        <w:pStyle w:val="8"/>
        <w:spacing w:line="235" w:lineRule="auto"/>
        <w:ind w:left="669" w:leftChars="300" w:right="2414" w:hanging="9"/>
        <w:jc w:val="both"/>
        <w:rPr>
          <w:rFonts w:hint="eastAsia" w:ascii="仿宋" w:hAnsi="仿宋" w:eastAsia="仿宋" w:cs="仿宋"/>
          <w:highlight w:val="none"/>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hint="eastAsia" w:ascii="仿宋" w:hAnsi="仿宋" w:eastAsia="仿宋" w:cs="仿宋"/>
          <w:highlight w:val="none"/>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highlight w:val="none"/>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highlight w:val="none"/>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highlight w:val="none"/>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highlight w:val="none"/>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highlight w:val="none"/>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highlight w:val="none"/>
          <w:lang w:val="en-US"/>
        </w:rPr>
      </w:pPr>
    </w:p>
    <w:p>
      <w:pPr>
        <w:pStyle w:val="21"/>
        <w:tabs>
          <w:tab w:val="left" w:pos="1609"/>
        </w:tabs>
        <w:spacing w:before="12" w:line="300" w:lineRule="auto"/>
        <w:ind w:left="340" w:right="567" w:firstLine="0"/>
        <w:jc w:val="center"/>
        <w:outlineLvl w:val="0"/>
        <w:rPr>
          <w:rFonts w:hint="eastAsia" w:ascii="宋体" w:hAnsi="宋体" w:eastAsia="宋体" w:cs="宋体"/>
          <w:b/>
          <w:bCs/>
          <w:sz w:val="36"/>
          <w:szCs w:val="36"/>
          <w:highlight w:val="none"/>
          <w:lang w:val="en-US"/>
        </w:rPr>
      </w:pPr>
      <w:r>
        <w:rPr>
          <w:rFonts w:hint="eastAsia" w:ascii="宋体" w:hAnsi="宋体" w:eastAsia="宋体" w:cs="宋体"/>
          <w:b/>
          <w:bCs/>
          <w:sz w:val="36"/>
          <w:szCs w:val="36"/>
          <w:highlight w:val="none"/>
        </w:rPr>
        <w:t>第二部分</w:t>
      </w:r>
    </w:p>
    <w:p>
      <w:pPr>
        <w:pStyle w:val="21"/>
        <w:tabs>
          <w:tab w:val="left" w:pos="1609"/>
        </w:tabs>
        <w:spacing w:before="12" w:line="300" w:lineRule="auto"/>
        <w:ind w:left="340" w:right="567" w:firstLine="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南京市六合区人民政府长芦街道办事处</w:t>
      </w:r>
    </w:p>
    <w:p>
      <w:pPr>
        <w:pStyle w:val="21"/>
        <w:tabs>
          <w:tab w:val="left" w:pos="1609"/>
        </w:tabs>
        <w:spacing w:before="12" w:line="300" w:lineRule="auto"/>
        <w:ind w:left="340" w:right="567" w:firstLine="0"/>
        <w:jc w:val="center"/>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eastAsia="zh-CN"/>
        </w:rPr>
        <w:t>2024</w:t>
      </w:r>
      <w:r>
        <w:rPr>
          <w:rFonts w:hint="eastAsia" w:ascii="宋体" w:hAnsi="宋体" w:eastAsia="宋体" w:cs="宋体"/>
          <w:b/>
          <w:bCs/>
          <w:sz w:val="36"/>
          <w:szCs w:val="36"/>
          <w:highlight w:val="none"/>
        </w:rPr>
        <w:t>年度</w:t>
      </w:r>
      <w:r>
        <w:rPr>
          <w:rFonts w:hint="eastAsia" w:ascii="宋体" w:hAnsi="宋体" w:eastAsia="宋体" w:cs="宋体"/>
          <w:b/>
          <w:bCs/>
          <w:sz w:val="36"/>
          <w:szCs w:val="36"/>
          <w:highlight w:val="none"/>
          <w:lang w:val="en-US"/>
        </w:rPr>
        <w:t>部门</w:t>
      </w:r>
      <w:r>
        <w:rPr>
          <w:rFonts w:ascii="宋体" w:hAnsi="宋体" w:eastAsia="宋体" w:cs="宋体"/>
          <w:b/>
          <w:sz w:val="36"/>
          <w:highlight w:val="none"/>
          <w:u w:color="auto"/>
        </w:rPr>
        <w:t>决算表</w:t>
      </w:r>
    </w:p>
    <w:tbl>
      <w:tblPr>
        <w:tblStyle w:val="13"/>
        <w:tblW w:w="10447" w:type="dxa"/>
        <w:jc w:val="center"/>
        <w:tblInd w:w="0" w:type="dxa"/>
        <w:tblLayout w:type="fixed"/>
        <w:tblCellMar>
          <w:top w:w="0" w:type="dxa"/>
          <w:left w:w="108" w:type="dxa"/>
          <w:bottom w:w="0" w:type="dxa"/>
          <w:right w:w="108" w:type="dxa"/>
        </w:tblCellMar>
      </w:tblPr>
      <w:tblGrid>
        <w:gridCol w:w="3468"/>
        <w:gridCol w:w="1777"/>
        <w:gridCol w:w="2035"/>
        <w:gridCol w:w="1341"/>
        <w:gridCol w:w="1826"/>
      </w:tblGrid>
      <w:tr>
        <w:tblPrEx>
          <w:tblLayout w:type="fixed"/>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hint="eastAsia" w:ascii="仿宋" w:hAnsi="仿宋" w:eastAsia="仿宋" w:cs="仿宋"/>
                <w:b/>
                <w:bCs/>
                <w:color w:val="000000"/>
                <w:highlight w:val="none"/>
              </w:rPr>
            </w:pPr>
            <w:r>
              <w:rPr>
                <w:rFonts w:hint="eastAsia" w:ascii="宋体" w:hAnsi="宋体" w:eastAsia="宋体" w:cs="宋体"/>
                <w:b/>
                <w:bCs/>
                <w:color w:val="000000"/>
                <w:sz w:val="36"/>
                <w:szCs w:val="36"/>
                <w:highlight w:val="none"/>
                <w:lang w:eastAsia="ar-SA"/>
              </w:rPr>
              <w:t>收入支出决算总表</w:t>
            </w:r>
          </w:p>
        </w:tc>
      </w:tr>
      <w:tr>
        <w:tblPrEx>
          <w:tblLayout w:type="fixed"/>
          <w:tblCellMar>
            <w:top w:w="0" w:type="dxa"/>
            <w:left w:w="108" w:type="dxa"/>
            <w:bottom w:w="0" w:type="dxa"/>
            <w:right w:w="108" w:type="dxa"/>
          </w:tblCellMar>
        </w:tblPrEx>
        <w:trPr>
          <w:trHeight w:val="348" w:hRule="atLeast"/>
          <w:jc w:val="center"/>
        </w:trPr>
        <w:tc>
          <w:tcPr>
            <w:tcW w:w="3468" w:type="dxa"/>
          </w:tcPr>
          <w:p>
            <w:pPr>
              <w:rPr>
                <w:rFonts w:hint="eastAsia" w:ascii="仿宋" w:hAnsi="仿宋" w:eastAsia="仿宋" w:cs="仿宋"/>
                <w:color w:val="000000"/>
                <w:sz w:val="20"/>
                <w:highlight w:val="none"/>
              </w:rPr>
            </w:pPr>
          </w:p>
        </w:tc>
        <w:tc>
          <w:tcPr>
            <w:tcW w:w="1777" w:type="dxa"/>
          </w:tcPr>
          <w:p>
            <w:pPr>
              <w:rPr>
                <w:rFonts w:hint="eastAsia" w:ascii="仿宋" w:hAnsi="仿宋" w:eastAsia="仿宋" w:cs="仿宋"/>
                <w:color w:val="000000"/>
                <w:sz w:val="20"/>
                <w:highlight w:val="none"/>
              </w:rPr>
            </w:pPr>
          </w:p>
        </w:tc>
        <w:tc>
          <w:tcPr>
            <w:tcW w:w="5202" w:type="dxa"/>
            <w:gridSpan w:val="3"/>
          </w:tcPr>
          <w:p>
            <w:pPr>
              <w:jc w:val="right"/>
              <w:rPr>
                <w:rFonts w:hint="eastAsia" w:ascii="仿宋" w:hAnsi="仿宋" w:eastAsia="仿宋" w:cs="仿宋"/>
                <w:color w:val="000000"/>
                <w:highlight w:val="none"/>
              </w:rPr>
            </w:pPr>
            <w:r>
              <w:rPr>
                <w:rFonts w:hint="eastAsia" w:ascii="仿宋" w:hAnsi="仿宋" w:eastAsia="仿宋" w:cs="仿宋"/>
                <w:color w:val="000000"/>
                <w:highlight w:val="none"/>
                <w:lang w:eastAsia="ar-SA"/>
              </w:rPr>
              <w:t>公开01表</w:t>
            </w:r>
          </w:p>
        </w:tc>
      </w:tr>
      <w:tr>
        <w:tblPrEx>
          <w:tblLayout w:type="fixed"/>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hint="eastAsia" w:ascii="仿宋" w:hAnsi="仿宋" w:eastAsia="仿宋" w:cs="仿宋"/>
                <w:color w:val="000000"/>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color w:val="000000"/>
                <w:highlight w:val="none"/>
                <w:lang w:eastAsia="ar-SA"/>
              </w:rPr>
              <w:t>南京市六合区人民政府长芦街道办事处</w:t>
            </w:r>
          </w:p>
        </w:tc>
        <w:tc>
          <w:tcPr>
            <w:tcW w:w="3167" w:type="dxa"/>
            <w:gridSpan w:val="2"/>
            <w:tcBorders>
              <w:bottom w:val="single" w:color="000000" w:sz="4" w:space="0"/>
            </w:tcBorders>
            <w:vAlign w:val="center"/>
          </w:tcPr>
          <w:p>
            <w:pPr>
              <w:jc w:val="right"/>
              <w:rPr>
                <w:rFonts w:hint="eastAsia" w:ascii="仿宋" w:hAnsi="仿宋" w:eastAsia="仿宋" w:cs="仿宋"/>
                <w:color w:val="000000"/>
                <w:highlight w:val="none"/>
              </w:rPr>
            </w:pPr>
            <w:r>
              <w:rPr>
                <w:rFonts w:hint="eastAsia" w:ascii="仿宋" w:hAnsi="仿宋" w:eastAsia="仿宋" w:cs="仿宋"/>
                <w:color w:val="000000"/>
                <w:highlight w:val="none"/>
              </w:rPr>
              <w:t>金额单位：万元</w:t>
            </w:r>
          </w:p>
        </w:tc>
      </w:tr>
      <w:tr>
        <w:tblPrEx>
          <w:tblLayout w:type="fixed"/>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ar-SA"/>
              </w:rPr>
              <w:t>支出</w:t>
            </w:r>
          </w:p>
        </w:tc>
      </w:tr>
      <w:tr>
        <w:tblPrEx>
          <w:tblLayout w:type="fixed"/>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highlight w:val="none"/>
              </w:rPr>
            </w:pPr>
            <w:r>
              <w:rPr>
                <w:rFonts w:ascii="仿宋" w:hAnsi="仿宋" w:eastAsia="仿宋" w:cs="仿宋"/>
                <w:color w:val="000000"/>
                <w:highlight w:val="none"/>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ar-SA"/>
              </w:rPr>
              <w:t>决算数</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r>
              <w:rPr>
                <w:rFonts w:hint="eastAsia" w:ascii="仿宋" w:hAnsi="仿宋" w:eastAsia="仿宋" w:cs="仿宋"/>
                <w:sz w:val="20"/>
                <w:highlight w:val="none"/>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15,488.00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3,596.71</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r>
              <w:rPr>
                <w:rFonts w:hint="eastAsia" w:ascii="仿宋" w:hAnsi="仿宋" w:eastAsia="仿宋" w:cs="仿宋"/>
                <w:sz w:val="20"/>
                <w:highlight w:val="none"/>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r>
              <w:rPr>
                <w:rFonts w:hint="eastAsia" w:ascii="仿宋" w:hAnsi="仿宋" w:eastAsia="仿宋" w:cs="仿宋"/>
                <w:sz w:val="20"/>
                <w:highlight w:val="none"/>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r>
              <w:rPr>
                <w:rFonts w:hint="eastAsia" w:ascii="仿宋" w:hAnsi="仿宋" w:eastAsia="仿宋" w:cs="仿宋"/>
                <w:sz w:val="20"/>
                <w:highlight w:val="none"/>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1,473.82</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r>
              <w:rPr>
                <w:rFonts w:hint="eastAsia" w:ascii="仿宋" w:hAnsi="仿宋" w:eastAsia="仿宋" w:cs="仿宋"/>
                <w:sz w:val="20"/>
                <w:highlight w:val="none"/>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217.55</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r>
              <w:rPr>
                <w:rFonts w:hint="eastAsia" w:ascii="仿宋" w:hAnsi="仿宋" w:eastAsia="仿宋" w:cs="仿宋"/>
                <w:sz w:val="20"/>
                <w:highlight w:val="none"/>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r>
              <w:rPr>
                <w:rFonts w:hint="eastAsia" w:ascii="仿宋" w:hAnsi="仿宋" w:eastAsia="仿宋" w:cs="仿宋"/>
                <w:sz w:val="20"/>
                <w:highlight w:val="none"/>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199.36</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r>
              <w:rPr>
                <w:rFonts w:hint="eastAsia" w:ascii="仿宋" w:hAnsi="仿宋" w:eastAsia="仿宋" w:cs="仿宋"/>
                <w:sz w:val="20"/>
                <w:highlight w:val="none"/>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3,370.04</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623.74</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2,693.03</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2,815.18</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r>
              <w:rPr>
                <w:rFonts w:hint="eastAsia" w:ascii="仿宋" w:hAnsi="仿宋" w:eastAsia="仿宋" w:cs="仿宋"/>
                <w:color w:val="000000"/>
                <w:highlight w:val="none"/>
                <w:lang w:eastAsia="ar-SA"/>
              </w:rPr>
              <w:t>498.58</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highlight w:val="none"/>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highlight w:val="none"/>
              </w:rPr>
            </w:pPr>
            <w:r>
              <w:rPr>
                <w:rFonts w:hint="eastAsia" w:ascii="仿宋" w:hAnsi="仿宋" w:eastAsia="仿宋" w:cs="仿宋"/>
                <w:color w:val="000000"/>
                <w:highlight w:val="none"/>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highlight w:val="none"/>
                <w:lang w:eastAsia="ar-SA"/>
              </w:rPr>
            </w:pPr>
          </w:p>
        </w:tc>
      </w:tr>
      <w:tr>
        <w:tblPrEx>
          <w:tblLayout w:type="fixed"/>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highlight w:val="none"/>
              </w:rPr>
            </w:pPr>
            <w:r>
              <w:rPr>
                <w:rFonts w:hint="eastAsia" w:ascii="仿宋" w:hAnsi="仿宋" w:eastAsia="仿宋" w:cs="仿宋"/>
                <w:b/>
                <w:bCs/>
                <w:color w:val="000000"/>
                <w:highlight w:val="none"/>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highlight w:val="none"/>
              </w:rPr>
            </w:pPr>
            <w:r>
              <w:rPr>
                <w:rFonts w:hint="eastAsia" w:ascii="仿宋" w:hAnsi="仿宋" w:eastAsia="仿宋" w:cs="仿宋"/>
                <w:color w:val="000000"/>
                <w:highlight w:val="none"/>
                <w:lang w:eastAsia="ar-SA"/>
              </w:rPr>
              <w:t>15,488.00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highlight w:val="none"/>
              </w:rPr>
            </w:pPr>
            <w:r>
              <w:rPr>
                <w:rFonts w:hint="eastAsia" w:ascii="仿宋" w:hAnsi="仿宋" w:eastAsia="仿宋" w:cs="仿宋"/>
                <w:color w:val="000000"/>
                <w:highlight w:val="none"/>
                <w:lang w:eastAsia="ar-SA"/>
              </w:rPr>
              <w:t>15,488.00</w:t>
            </w:r>
          </w:p>
        </w:tc>
      </w:tr>
      <w:tr>
        <w:tblPrEx>
          <w:tblLayout w:type="fixed"/>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highlight w:val="none"/>
              </w:rPr>
            </w:pPr>
            <w:r>
              <w:rPr>
                <w:rFonts w:hint="eastAsia" w:ascii="仿宋" w:hAnsi="仿宋" w:eastAsia="仿宋" w:cs="仿宋"/>
                <w:color w:val="000000"/>
                <w:highlight w:val="none"/>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highlight w:val="none"/>
              </w:rPr>
            </w:pPr>
            <w:r>
              <w:rPr>
                <w:rFonts w:hint="eastAsia" w:ascii="仿宋" w:hAnsi="仿宋" w:eastAsia="仿宋" w:cs="仿宋"/>
                <w:color w:val="000000"/>
                <w:highlight w:val="none"/>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highlight w:val="none"/>
              </w:rPr>
            </w:pPr>
          </w:p>
        </w:tc>
      </w:tr>
      <w:tr>
        <w:tblPrEx>
          <w:tblLayout w:type="fixed"/>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highlight w:val="none"/>
              </w:rPr>
            </w:pPr>
            <w:r>
              <w:rPr>
                <w:rFonts w:hint="eastAsia" w:ascii="仿宋" w:hAnsi="仿宋" w:eastAsia="仿宋" w:cs="仿宋"/>
                <w:color w:val="000000"/>
                <w:highlight w:val="none"/>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highlight w:val="none"/>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highlight w:val="none"/>
              </w:rPr>
            </w:pPr>
            <w:r>
              <w:rPr>
                <w:rFonts w:hint="eastAsia" w:ascii="仿宋" w:hAnsi="仿宋" w:eastAsia="仿宋" w:cs="仿宋"/>
                <w:color w:val="000000"/>
                <w:highlight w:val="none"/>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highlight w:val="none"/>
              </w:rPr>
            </w:pPr>
          </w:p>
        </w:tc>
      </w:tr>
      <w:tr>
        <w:tblPrEx>
          <w:tblLayout w:type="fixed"/>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highlight w:val="none"/>
              </w:rPr>
            </w:pPr>
          </w:p>
        </w:tc>
        <w:tc>
          <w:tcPr>
            <w:tcW w:w="1777"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highlight w:val="none"/>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highlight w:val="none"/>
              </w:rPr>
            </w:pPr>
          </w:p>
        </w:tc>
        <w:tc>
          <w:tcPr>
            <w:tcW w:w="1826"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highlight w:val="none"/>
              </w:rPr>
            </w:pPr>
          </w:p>
        </w:tc>
      </w:tr>
      <w:tr>
        <w:tblPrEx>
          <w:tblLayout w:type="fixed"/>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highlight w:val="none"/>
              </w:rPr>
            </w:pPr>
            <w:r>
              <w:rPr>
                <w:rFonts w:hint="eastAsia" w:ascii="仿宋" w:hAnsi="仿宋" w:eastAsia="仿宋" w:cs="仿宋"/>
                <w:b/>
                <w:color w:val="000000"/>
                <w:highlight w:val="none"/>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highlight w:val="none"/>
              </w:rPr>
            </w:pPr>
            <w:r>
              <w:rPr>
                <w:rFonts w:hint="eastAsia" w:ascii="仿宋" w:hAnsi="仿宋" w:eastAsia="仿宋" w:cs="仿宋"/>
                <w:color w:val="000000"/>
                <w:highlight w:val="none"/>
                <w:lang w:eastAsia="ar-SA"/>
              </w:rPr>
              <w:t>15,488.00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highlight w:val="none"/>
              </w:rPr>
            </w:pPr>
            <w:r>
              <w:rPr>
                <w:rFonts w:hint="eastAsia" w:ascii="仿宋" w:hAnsi="仿宋" w:eastAsia="仿宋" w:cs="仿宋"/>
                <w:b/>
                <w:color w:val="000000"/>
                <w:highlight w:val="none"/>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highlight w:val="none"/>
              </w:rPr>
            </w:pPr>
            <w:r>
              <w:rPr>
                <w:rFonts w:hint="eastAsia" w:ascii="仿宋" w:hAnsi="仿宋" w:eastAsia="仿宋" w:cs="仿宋"/>
                <w:color w:val="000000"/>
                <w:highlight w:val="none"/>
                <w:lang w:eastAsia="ar-SA"/>
              </w:rPr>
              <w:t>15,488.00</w:t>
            </w:r>
          </w:p>
        </w:tc>
      </w:tr>
    </w:tbl>
    <w:p>
      <w:pPr>
        <w:spacing w:before="66"/>
        <w:jc w:val="both"/>
        <w:rPr>
          <w:rFonts w:hint="eastAsia" w:ascii="仿宋" w:hAnsi="仿宋" w:eastAsia="仿宋" w:cs="仿宋"/>
          <w:color w:val="000000"/>
          <w:highlight w:val="none"/>
          <w:lang w:val="en-US"/>
        </w:rPr>
      </w:pPr>
      <w:r>
        <w:rPr>
          <w:rFonts w:hint="eastAsia" w:ascii="仿宋" w:hAnsi="仿宋" w:eastAsia="仿宋" w:cs="仿宋"/>
          <w:color w:val="000000"/>
          <w:highlight w:val="none"/>
          <w:lang w:val="en-US"/>
        </w:rPr>
        <w:t>注：本表反映本年度的总收支和年末结转结余情况。本表金额单位转换时可能存在尾数误差。</w:t>
      </w:r>
    </w:p>
    <w:p>
      <w:pPr>
        <w:spacing w:before="66"/>
        <w:jc w:val="both"/>
        <w:rPr>
          <w:rFonts w:hint="eastAsia" w:ascii="仿宋" w:hAnsi="仿宋" w:eastAsia="仿宋" w:cs="仿宋"/>
          <w:color w:val="000000"/>
          <w:highlight w:val="none"/>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3"/>
        <w:tblW w:w="16660" w:type="dxa"/>
        <w:jc w:val="center"/>
        <w:tblInd w:w="0" w:type="dxa"/>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Layout w:type="fixed"/>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hint="eastAsia" w:ascii="仿宋" w:hAnsi="仿宋" w:eastAsia="仿宋" w:cs="仿宋"/>
                <w:b/>
                <w:bCs/>
                <w:sz w:val="44"/>
                <w:szCs w:val="44"/>
                <w:highlight w:val="none"/>
                <w:lang w:val="en-US"/>
              </w:rPr>
            </w:pPr>
            <w:r>
              <w:rPr>
                <w:rFonts w:hint="eastAsia" w:ascii="宋体" w:hAnsi="宋体" w:eastAsia="宋体" w:cs="宋体"/>
                <w:b/>
                <w:bCs/>
                <w:color w:val="000000"/>
                <w:highlight w:val="none"/>
                <w:lang w:eastAsia="ar-SA"/>
              </w:rPr>
              <w:t>收入决算表</w:t>
            </w:r>
          </w:p>
        </w:tc>
      </w:tr>
      <w:tr>
        <w:tblPrEx>
          <w:tblLayout w:type="fixed"/>
          <w:tblCellMar>
            <w:top w:w="0" w:type="dxa"/>
            <w:left w:w="108" w:type="dxa"/>
            <w:bottom w:w="0" w:type="dxa"/>
            <w:right w:w="108" w:type="dxa"/>
          </w:tblCellMar>
        </w:tblPrEx>
        <w:trPr>
          <w:trHeight w:val="247" w:hRule="atLeast"/>
          <w:jc w:val="center"/>
        </w:trPr>
        <w:tc>
          <w:tcPr>
            <w:tcW w:w="4357" w:type="dxa"/>
            <w:gridSpan w:val="2"/>
            <w:vAlign w:val="center"/>
          </w:tcPr>
          <w:p>
            <w:pPr>
              <w:pStyle w:val="22"/>
              <w:jc w:val="center"/>
              <w:rPr>
                <w:rFonts w:hint="eastAsia" w:ascii="仿宋" w:hAnsi="仿宋" w:eastAsia="仿宋" w:cs="仿宋"/>
                <w:highlight w:val="none"/>
              </w:rPr>
            </w:pPr>
          </w:p>
        </w:tc>
        <w:tc>
          <w:tcPr>
            <w:tcW w:w="1716" w:type="dxa"/>
            <w:vAlign w:val="center"/>
          </w:tcPr>
          <w:p>
            <w:pPr>
              <w:pStyle w:val="22"/>
              <w:jc w:val="center"/>
              <w:rPr>
                <w:rFonts w:hint="eastAsia" w:ascii="仿宋" w:hAnsi="仿宋" w:eastAsia="仿宋" w:cs="仿宋"/>
                <w:highlight w:val="none"/>
              </w:rPr>
            </w:pPr>
          </w:p>
        </w:tc>
        <w:tc>
          <w:tcPr>
            <w:tcW w:w="1728" w:type="dxa"/>
            <w:vAlign w:val="center"/>
          </w:tcPr>
          <w:p>
            <w:pPr>
              <w:pStyle w:val="22"/>
              <w:jc w:val="center"/>
              <w:rPr>
                <w:rFonts w:hint="eastAsia" w:ascii="仿宋" w:hAnsi="仿宋" w:eastAsia="仿宋" w:cs="仿宋"/>
                <w:highlight w:val="none"/>
              </w:rPr>
            </w:pPr>
          </w:p>
        </w:tc>
        <w:tc>
          <w:tcPr>
            <w:tcW w:w="1686" w:type="dxa"/>
            <w:vAlign w:val="center"/>
          </w:tcPr>
          <w:p>
            <w:pPr>
              <w:pStyle w:val="22"/>
              <w:jc w:val="center"/>
              <w:rPr>
                <w:rFonts w:hint="eastAsia" w:ascii="仿宋" w:hAnsi="仿宋" w:eastAsia="仿宋" w:cs="仿宋"/>
                <w:highlight w:val="none"/>
              </w:rPr>
            </w:pPr>
          </w:p>
        </w:tc>
        <w:tc>
          <w:tcPr>
            <w:tcW w:w="3207" w:type="dxa"/>
            <w:gridSpan w:val="2"/>
            <w:vAlign w:val="center"/>
          </w:tcPr>
          <w:p>
            <w:pPr>
              <w:pStyle w:val="22"/>
              <w:jc w:val="center"/>
              <w:rPr>
                <w:rFonts w:hint="eastAsia" w:ascii="仿宋" w:hAnsi="仿宋" w:eastAsia="仿宋" w:cs="仿宋"/>
                <w:highlight w:val="none"/>
              </w:rPr>
            </w:pPr>
          </w:p>
        </w:tc>
        <w:tc>
          <w:tcPr>
            <w:tcW w:w="1263" w:type="dxa"/>
            <w:vAlign w:val="center"/>
          </w:tcPr>
          <w:p>
            <w:pPr>
              <w:pStyle w:val="22"/>
              <w:jc w:val="center"/>
              <w:rPr>
                <w:rFonts w:hint="eastAsia" w:ascii="仿宋" w:hAnsi="仿宋" w:eastAsia="仿宋" w:cs="仿宋"/>
                <w:highlight w:val="none"/>
              </w:rPr>
            </w:pPr>
          </w:p>
        </w:tc>
        <w:tc>
          <w:tcPr>
            <w:tcW w:w="2703" w:type="dxa"/>
            <w:gridSpan w:val="2"/>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公开02表</w:t>
            </w:r>
          </w:p>
        </w:tc>
      </w:tr>
      <w:tr>
        <w:tblPrEx>
          <w:tblLayout w:type="fixed"/>
          <w:tblCellMar>
            <w:top w:w="0" w:type="dxa"/>
            <w:left w:w="108" w:type="dxa"/>
            <w:bottom w:w="0" w:type="dxa"/>
            <w:right w:w="108" w:type="dxa"/>
          </w:tblCellMar>
        </w:tblPrEx>
        <w:trPr>
          <w:trHeight w:val="247" w:hRule="atLeast"/>
          <w:jc w:val="center"/>
        </w:trPr>
        <w:tc>
          <w:tcPr>
            <w:tcW w:w="13957" w:type="dxa"/>
            <w:gridSpan w:val="8"/>
            <w:vAlign w:val="center"/>
          </w:tcPr>
          <w:p>
            <w:pPr>
              <w:pStyle w:val="22"/>
              <w:rPr>
                <w:rFonts w:hint="eastAsia" w:ascii="仿宋" w:hAnsi="仿宋" w:eastAsia="仿宋" w:cs="仿宋"/>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2703" w:type="dxa"/>
            <w:gridSpan w:val="2"/>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金额单位：万元</w:t>
            </w:r>
          </w:p>
        </w:tc>
      </w:tr>
      <w:tr>
        <w:tblPrEx>
          <w:tblLayout w:type="fixed"/>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项目</w:t>
            </w:r>
          </w:p>
        </w:tc>
        <w:tc>
          <w:tcPr>
            <w:tcW w:w="171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上级补助收入</w:t>
            </w:r>
          </w:p>
        </w:tc>
        <w:tc>
          <w:tcPr>
            <w:tcW w:w="1503"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财政专户管理教育收费</w:t>
            </w:r>
          </w:p>
        </w:tc>
        <w:tc>
          <w:tcPr>
            <w:tcW w:w="170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其他收入</w:t>
            </w:r>
          </w:p>
        </w:tc>
      </w:tr>
      <w:tr>
        <w:tblPrEx>
          <w:tblLayout w:type="fixed"/>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功能分类</w:t>
            </w:r>
          </w:p>
          <w:p>
            <w:pPr>
              <w:pStyle w:val="22"/>
              <w:jc w:val="center"/>
              <w:rPr>
                <w:rFonts w:hint="eastAsia" w:ascii="仿宋" w:hAnsi="仿宋" w:eastAsia="仿宋" w:cs="仿宋"/>
                <w:highlight w:val="none"/>
              </w:rPr>
            </w:pPr>
            <w:r>
              <w:rPr>
                <w:rFonts w:hint="eastAsia" w:ascii="仿宋" w:hAnsi="仿宋" w:eastAsia="仿宋" w:cs="仿宋"/>
                <w:highlight w:val="none"/>
              </w:rPr>
              <w:t>科目编码</w:t>
            </w:r>
          </w:p>
        </w:tc>
        <w:tc>
          <w:tcPr>
            <w:tcW w:w="3156"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科目名称</w:t>
            </w:r>
          </w:p>
        </w:tc>
        <w:tc>
          <w:tcPr>
            <w:tcW w:w="1716"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728"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686"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503"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p>
        </w:tc>
        <w:tc>
          <w:tcPr>
            <w:tcW w:w="1704"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p>
        </w:tc>
        <w:tc>
          <w:tcPr>
            <w:tcW w:w="1263"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375"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32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highlight w:val="none"/>
              </w:rPr>
            </w:pPr>
          </w:p>
        </w:tc>
      </w:tr>
      <w:tr>
        <w:tblPrEx>
          <w:tblLayout w:type="fixed"/>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ascii="仿宋" w:hAnsi="仿宋" w:eastAsia="仿宋" w:cs="仿宋"/>
                <w:highlight w:val="none"/>
                <w:u w:color="auto"/>
              </w:rPr>
              <w:t>合计</w:t>
            </w:r>
          </w:p>
        </w:tc>
        <w:tc>
          <w:tcPr>
            <w:tcW w:w="1716" w:type="dxa"/>
            <w:tcBorders>
              <w:left w:val="single" w:color="000000" w:sz="4" w:space="0"/>
              <w:bottom w:val="single" w:color="000000" w:sz="4" w:space="0"/>
            </w:tcBorders>
            <w:vAlign w:val="center"/>
          </w:tcPr>
          <w:p>
            <w:pPr>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15,488.00</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15,488.00</w:t>
            </w:r>
          </w:p>
        </w:tc>
        <w:tc>
          <w:tcPr>
            <w:tcW w:w="1686" w:type="dxa"/>
            <w:tcBorders>
              <w:left w:val="single" w:color="000000" w:sz="4" w:space="0"/>
              <w:bottom w:val="single" w:color="000000" w:sz="4" w:space="0"/>
            </w:tcBorders>
            <w:vAlign w:val="center"/>
          </w:tcPr>
          <w:p>
            <w:pPr>
              <w:jc w:val="right"/>
              <w:rPr>
                <w:rFonts w:hint="eastAsia" w:ascii="仿宋" w:hAnsi="仿宋" w:eastAsia="仿宋" w:cs="仿宋"/>
                <w:sz w:val="20"/>
                <w:szCs w:val="20"/>
                <w:highlight w:val="none"/>
              </w:rPr>
            </w:pPr>
          </w:p>
        </w:tc>
        <w:tc>
          <w:tcPr>
            <w:tcW w:w="1503" w:type="dxa"/>
            <w:tcBorders>
              <w:left w:val="single" w:color="000000" w:sz="4" w:space="0"/>
              <w:bottom w:val="single" w:color="000000" w:sz="4" w:space="0"/>
            </w:tcBorders>
            <w:vAlign w:val="center"/>
          </w:tcPr>
          <w:p>
            <w:pPr>
              <w:jc w:val="right"/>
              <w:rPr>
                <w:rFonts w:hint="eastAsia" w:ascii="仿宋" w:hAnsi="仿宋" w:eastAsia="仿宋" w:cs="仿宋"/>
                <w:sz w:val="20"/>
                <w:szCs w:val="20"/>
                <w:highlight w:val="none"/>
              </w:rPr>
            </w:pPr>
          </w:p>
        </w:tc>
        <w:tc>
          <w:tcPr>
            <w:tcW w:w="1704" w:type="dxa"/>
            <w:tcBorders>
              <w:left w:val="single" w:color="000000" w:sz="4" w:space="0"/>
              <w:bottom w:val="single" w:color="000000" w:sz="4" w:space="0"/>
            </w:tcBorders>
            <w:vAlign w:val="center"/>
          </w:tcPr>
          <w:p>
            <w:pPr>
              <w:jc w:val="right"/>
              <w:rPr>
                <w:rFonts w:hint="eastAsia" w:ascii="仿宋" w:hAnsi="仿宋" w:eastAsia="仿宋" w:cs="仿宋"/>
                <w:sz w:val="20"/>
                <w:szCs w:val="20"/>
                <w:highlight w:val="none"/>
              </w:rPr>
            </w:pPr>
          </w:p>
        </w:tc>
        <w:tc>
          <w:tcPr>
            <w:tcW w:w="1263" w:type="dxa"/>
            <w:tcBorders>
              <w:left w:val="single" w:color="000000" w:sz="4" w:space="0"/>
              <w:bottom w:val="single" w:color="000000" w:sz="4" w:space="0"/>
            </w:tcBorders>
            <w:vAlign w:val="center"/>
          </w:tcPr>
          <w:p>
            <w:pPr>
              <w:jc w:val="right"/>
              <w:rPr>
                <w:rFonts w:hint="eastAsia" w:ascii="仿宋" w:hAnsi="仿宋" w:eastAsia="仿宋" w:cs="仿宋"/>
                <w:sz w:val="20"/>
                <w:szCs w:val="20"/>
                <w:highlight w:val="none"/>
              </w:rPr>
            </w:pPr>
          </w:p>
        </w:tc>
        <w:tc>
          <w:tcPr>
            <w:tcW w:w="1375" w:type="dxa"/>
            <w:tcBorders>
              <w:left w:val="single" w:color="000000" w:sz="4" w:space="0"/>
              <w:bottom w:val="single" w:color="000000" w:sz="4" w:space="0"/>
            </w:tcBorders>
            <w:vAlign w:val="center"/>
          </w:tcPr>
          <w:p>
            <w:pPr>
              <w:jc w:val="right"/>
              <w:rPr>
                <w:rFonts w:hint="eastAsia" w:ascii="仿宋" w:hAnsi="仿宋" w:eastAsia="仿宋" w:cs="仿宋"/>
                <w:sz w:val="20"/>
                <w:szCs w:val="20"/>
                <w:highlight w:val="none"/>
              </w:rPr>
            </w:pPr>
          </w:p>
        </w:tc>
        <w:tc>
          <w:tcPr>
            <w:tcW w:w="1328"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3,596.71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3,596.71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3,596.71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3,596.71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2010301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3,596.71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3,596.71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1,473.82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1,473.82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20402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公安</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1,473.82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1,473.82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2040299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其他公安支出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1,473.82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1,473.82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217.55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217.55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普通教育</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217.55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217.55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学前教育</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182.55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182.55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小学教育</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207</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199.36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199.36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20701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文化和旅游</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199.36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199.36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2070109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群众文化</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199.36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199.36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3,370.04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3,370.04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民政管理事务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367.66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367.66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基层政权建设和社区治理</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14.57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14.57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2080299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其他民政管理事务支出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353.09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353.09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592.20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592.20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592.20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592.20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抚恤</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539.57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539.57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死亡抚恤</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24.60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24.60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伤残抚恤</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70.75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70.75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在乡复员、退伍军人生活补助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27.00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27.00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其他优抚支出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417.22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417.22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退役安置</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10.67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10.67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2080902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军队移交政府的离退休人员安置</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10.67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10.67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特困人员救助供养</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322.69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322.69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农村特困人员救助供养支出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322.69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322.69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其他生活救助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1,053.75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1,053.75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2082502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其他农村生活救助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1,053.75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1,053.75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483.50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483.50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483.50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483.50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623.74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623.74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335.58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335.58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335.58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335.58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21007</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计划生育事务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288.15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288.15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2100799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其他计划生育事务支出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288.15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288.15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2,693.03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2,693.03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城乡社区管理事务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1,957.71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1,957.71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2120199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其他城乡社区管理事务支出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1,957.71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1,957.71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城乡社区环境卫生</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735.32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735.32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2120501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城乡社区环境卫生</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735.32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735.32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2,815.18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2,815.18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农业农村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783.44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783.44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2130122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农业生产发展</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251.00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251.00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2130199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其他农业农村支出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532.44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532.44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49.17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49.17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2130399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其他水利支出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49.17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49.17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21307</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农村综合改革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1,073.90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1,073.90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2130706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对村集体经济组织的补助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1,073.90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1,073.90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目标价格补贴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153.00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153.00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其他目标价格补贴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153.00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153.00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755.67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755.67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755.67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755.67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资源勘探工业信息等支出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498.58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498.58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21508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支持中小企业发展和管理支出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498.58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498.58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2150899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其他支持中小企业发展和管理支出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498.58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r>
              <w:rPr>
                <w:rFonts w:hint="eastAsia" w:ascii="仿宋" w:hAnsi="仿宋" w:eastAsia="仿宋" w:cs="仿宋"/>
                <w:sz w:val="20"/>
                <w:szCs w:val="20"/>
                <w:highlight w:val="none"/>
              </w:rPr>
              <w:t>498.58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highlight w:val="none"/>
              </w:rPr>
            </w:pPr>
          </w:p>
        </w:tc>
      </w:tr>
    </w:tbl>
    <w:p>
      <w:pPr>
        <w:spacing w:before="66"/>
        <w:jc w:val="both"/>
        <w:rPr>
          <w:rFonts w:hint="eastAsia" w:ascii="仿宋" w:hAnsi="仿宋" w:eastAsia="仿宋" w:cs="仿宋"/>
          <w:highlight w:val="none"/>
        </w:rPr>
      </w:pPr>
      <w:r>
        <w:rPr>
          <w:rFonts w:hint="eastAsia" w:ascii="仿宋" w:hAnsi="仿宋" w:eastAsia="仿宋" w:cs="仿宋"/>
          <w:color w:val="000000"/>
          <w:highlight w:val="none"/>
        </w:rPr>
        <w:t>注：</w:t>
      </w:r>
      <w:r>
        <w:rPr>
          <w:rFonts w:hint="eastAsia" w:ascii="仿宋" w:hAnsi="仿宋" w:eastAsia="仿宋" w:cs="仿宋"/>
          <w:highlight w:val="none"/>
        </w:rPr>
        <w:t>本表反映本年度取得的各项收入情况。本表金额单位转换时可能存在尾数误差。</w:t>
      </w:r>
    </w:p>
    <w:p>
      <w:pPr>
        <w:spacing w:before="66"/>
        <w:ind w:left="57" w:firstLine="220" w:firstLineChars="100"/>
        <w:jc w:val="both"/>
        <w:rPr>
          <w:rFonts w:hint="eastAsia" w:ascii="仿宋" w:hAnsi="仿宋" w:eastAsia="仿宋" w:cs="仿宋"/>
          <w:highlight w:val="none"/>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3"/>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Layout w:type="fixed"/>
          <w:tblCellMar>
            <w:top w:w="55" w:type="dxa"/>
            <w:left w:w="55" w:type="dxa"/>
            <w:bottom w:w="55" w:type="dxa"/>
            <w:right w:w="55" w:type="dxa"/>
          </w:tblCellMar>
        </w:tblPrEx>
        <w:trPr>
          <w:trHeight w:val="532" w:hRule="atLeast"/>
        </w:trPr>
        <w:tc>
          <w:tcPr>
            <w:tcW w:w="15689" w:type="dxa"/>
            <w:gridSpan w:val="8"/>
            <w:vAlign w:val="center"/>
          </w:tcPr>
          <w:p>
            <w:pPr>
              <w:pStyle w:val="5"/>
              <w:rPr>
                <w:rFonts w:hint="eastAsia" w:ascii="仿宋" w:hAnsi="仿宋" w:eastAsia="仿宋" w:cs="仿宋"/>
                <w:b/>
                <w:bCs/>
                <w:sz w:val="44"/>
                <w:szCs w:val="44"/>
                <w:highlight w:val="none"/>
              </w:rPr>
            </w:pPr>
            <w:r>
              <w:rPr>
                <w:rFonts w:hint="eastAsia" w:ascii="宋体" w:hAnsi="宋体" w:eastAsia="宋体" w:cs="宋体"/>
                <w:b/>
                <w:bCs/>
                <w:color w:val="000000"/>
                <w:highlight w:val="none"/>
                <w:lang w:eastAsia="ar-SA"/>
              </w:rPr>
              <w:t>支出决算表</w:t>
            </w:r>
          </w:p>
        </w:tc>
      </w:tr>
      <w:tr>
        <w:tblPrEx>
          <w:tblLayout w:type="fixed"/>
          <w:tblCellMar>
            <w:top w:w="55" w:type="dxa"/>
            <w:left w:w="55" w:type="dxa"/>
            <w:bottom w:w="55" w:type="dxa"/>
            <w:right w:w="55" w:type="dxa"/>
          </w:tblCellMar>
        </w:tblPrEx>
        <w:trPr>
          <w:trHeight w:val="227" w:hRule="atLeast"/>
        </w:trPr>
        <w:tc>
          <w:tcPr>
            <w:tcW w:w="5115" w:type="dxa"/>
            <w:gridSpan w:val="2"/>
            <w:vAlign w:val="center"/>
          </w:tcPr>
          <w:p>
            <w:pPr>
              <w:pStyle w:val="22"/>
              <w:jc w:val="center"/>
              <w:rPr>
                <w:rFonts w:hint="eastAsia" w:ascii="仿宋" w:hAnsi="仿宋" w:eastAsia="仿宋" w:cs="仿宋"/>
                <w:highlight w:val="none"/>
              </w:rPr>
            </w:pPr>
          </w:p>
        </w:tc>
        <w:tc>
          <w:tcPr>
            <w:tcW w:w="2164" w:type="dxa"/>
            <w:vAlign w:val="center"/>
          </w:tcPr>
          <w:p>
            <w:pPr>
              <w:pStyle w:val="22"/>
              <w:jc w:val="center"/>
              <w:rPr>
                <w:rFonts w:hint="eastAsia" w:ascii="仿宋" w:hAnsi="仿宋" w:eastAsia="仿宋" w:cs="仿宋"/>
                <w:sz w:val="20"/>
                <w:highlight w:val="none"/>
              </w:rPr>
            </w:pPr>
          </w:p>
        </w:tc>
        <w:tc>
          <w:tcPr>
            <w:tcW w:w="1897" w:type="dxa"/>
            <w:vAlign w:val="center"/>
          </w:tcPr>
          <w:p>
            <w:pPr>
              <w:pStyle w:val="22"/>
              <w:jc w:val="center"/>
              <w:rPr>
                <w:rFonts w:hint="eastAsia" w:ascii="仿宋" w:hAnsi="仿宋" w:eastAsia="仿宋" w:cs="仿宋"/>
                <w:sz w:val="20"/>
                <w:highlight w:val="none"/>
              </w:rPr>
            </w:pPr>
          </w:p>
        </w:tc>
        <w:tc>
          <w:tcPr>
            <w:tcW w:w="1739" w:type="dxa"/>
            <w:vAlign w:val="center"/>
          </w:tcPr>
          <w:p>
            <w:pPr>
              <w:pStyle w:val="22"/>
              <w:jc w:val="center"/>
              <w:rPr>
                <w:rFonts w:hint="eastAsia" w:ascii="仿宋" w:hAnsi="仿宋" w:eastAsia="仿宋" w:cs="仿宋"/>
                <w:sz w:val="20"/>
                <w:highlight w:val="none"/>
              </w:rPr>
            </w:pPr>
          </w:p>
        </w:tc>
        <w:tc>
          <w:tcPr>
            <w:tcW w:w="1715" w:type="dxa"/>
            <w:vAlign w:val="center"/>
          </w:tcPr>
          <w:p>
            <w:pPr>
              <w:pStyle w:val="22"/>
              <w:jc w:val="center"/>
              <w:rPr>
                <w:rFonts w:hint="eastAsia" w:ascii="仿宋" w:hAnsi="仿宋" w:eastAsia="仿宋" w:cs="仿宋"/>
                <w:sz w:val="20"/>
                <w:highlight w:val="none"/>
              </w:rPr>
            </w:pPr>
          </w:p>
        </w:tc>
        <w:tc>
          <w:tcPr>
            <w:tcW w:w="3059" w:type="dxa"/>
            <w:gridSpan w:val="2"/>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公开03表</w:t>
            </w:r>
          </w:p>
        </w:tc>
      </w:tr>
      <w:tr>
        <w:tblPrEx>
          <w:tblLayout w:type="fixed"/>
          <w:tblCellMar>
            <w:top w:w="55" w:type="dxa"/>
            <w:left w:w="55" w:type="dxa"/>
            <w:bottom w:w="55" w:type="dxa"/>
            <w:right w:w="55" w:type="dxa"/>
          </w:tblCellMar>
        </w:tblPrEx>
        <w:trPr>
          <w:trHeight w:val="90" w:hRule="atLeast"/>
        </w:trPr>
        <w:tc>
          <w:tcPr>
            <w:tcW w:w="12630" w:type="dxa"/>
            <w:gridSpan w:val="6"/>
            <w:vAlign w:val="center"/>
          </w:tcPr>
          <w:p>
            <w:pPr>
              <w:pStyle w:val="22"/>
              <w:rPr>
                <w:rFonts w:hint="eastAsia" w:ascii="仿宋" w:hAnsi="仿宋" w:eastAsia="仿宋" w:cs="仿宋"/>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3059" w:type="dxa"/>
            <w:gridSpan w:val="2"/>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项目</w:t>
            </w:r>
          </w:p>
        </w:tc>
        <w:tc>
          <w:tcPr>
            <w:tcW w:w="2164"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对附属单位补助支出</w:t>
            </w:r>
          </w:p>
        </w:tc>
      </w:tr>
      <w:tr>
        <w:tblPrEx>
          <w:tblLayout w:type="fixed"/>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功能分类</w:t>
            </w:r>
          </w:p>
          <w:p>
            <w:pPr>
              <w:pStyle w:val="22"/>
              <w:jc w:val="center"/>
              <w:rPr>
                <w:rFonts w:hint="eastAsia" w:ascii="仿宋" w:hAnsi="仿宋" w:eastAsia="仿宋" w:cs="仿宋"/>
                <w:highlight w:val="none"/>
              </w:rPr>
            </w:pPr>
            <w:r>
              <w:rPr>
                <w:rFonts w:hint="eastAsia" w:ascii="仿宋" w:hAnsi="仿宋" w:eastAsia="仿宋" w:cs="仿宋"/>
                <w:highlight w:val="none"/>
              </w:rPr>
              <w:t>科目编码</w:t>
            </w:r>
          </w:p>
        </w:tc>
        <w:tc>
          <w:tcPr>
            <w:tcW w:w="3927"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科目名称</w:t>
            </w:r>
          </w:p>
        </w:tc>
        <w:tc>
          <w:tcPr>
            <w:tcW w:w="2164"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897"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739"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715"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633"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1426" w:type="dxa"/>
            <w:vMerge w:val="continue"/>
            <w:tcBorders>
              <w:left w:val="single" w:color="000000" w:sz="4" w:space="0"/>
              <w:bottom w:val="single" w:color="000000" w:sz="4" w:space="0"/>
              <w:right w:val="single" w:color="000000" w:sz="4" w:space="0"/>
            </w:tcBorders>
          </w:tcPr>
          <w:p>
            <w:pPr>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ascii="仿宋" w:hAnsi="仿宋" w:eastAsia="仿宋" w:cs="仿宋"/>
                <w:highlight w:val="none"/>
                <w:u w:color="auto"/>
              </w:rPr>
              <w:t>合计</w:t>
            </w:r>
          </w:p>
        </w:tc>
        <w:tc>
          <w:tcPr>
            <w:tcW w:w="2164" w:type="dxa"/>
            <w:tcBorders>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15,488.00</w:t>
            </w:r>
          </w:p>
        </w:tc>
        <w:tc>
          <w:tcPr>
            <w:tcW w:w="1897" w:type="dxa"/>
            <w:tcBorders>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12,273.52</w:t>
            </w:r>
          </w:p>
        </w:tc>
        <w:tc>
          <w:tcPr>
            <w:tcW w:w="1739" w:type="dxa"/>
            <w:tcBorders>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3,214.48</w:t>
            </w:r>
          </w:p>
        </w:tc>
        <w:tc>
          <w:tcPr>
            <w:tcW w:w="1715" w:type="dxa"/>
            <w:tcBorders>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p>
        </w:tc>
        <w:tc>
          <w:tcPr>
            <w:tcW w:w="1633" w:type="dxa"/>
            <w:tcBorders>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p>
        </w:tc>
        <w:tc>
          <w:tcPr>
            <w:tcW w:w="1426"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3,596.71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3,596.71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20103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3,596.71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3,596.71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2010301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3,596.71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3,596.71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204</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公共安全支出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1,473.82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448.91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1,024.91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20402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公安</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1,473.82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448.91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1,024.91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2040299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其他公安支出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1,473.82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448.91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1,024.91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教育支出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217.55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217.55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20502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普通教育</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217.55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217.55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2050201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学前教育</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182.55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182.55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2050202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小学教育</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207</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199.36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199.36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20701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文化和旅游</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199.36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199.36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2070109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群众文化</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199.36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199.36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3,370.04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3,370.04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民政管理事务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367.66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367.66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2080208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基层政权建设和社区治理</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14.57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14.57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2080299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其他民政管理事务支出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353.09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353.09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592.20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592.20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2080501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592.20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592.20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抚恤</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539.57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539.57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2080801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死亡抚恤</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24.60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24.60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2080802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伤残抚恤</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70.75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70.75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2080803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在乡复员、退伍军人生活补助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27.00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27.00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2080899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其他优抚支出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417.22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417.22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退役安置</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10.67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10.67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2080902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军队移交政府的离退休人员安置</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10.67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10.67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20821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特困人员救助供养</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322.69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322.69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2082102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农村特困人员救助供养支出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322.69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322.69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20825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其他生活救助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1,053.75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1,053.75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2082502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其他农村生活救助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1,053.75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1,053.75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483.50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483.50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2089999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483.50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483.50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210</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卫生健康支出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623.74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322.30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301.44</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21004</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335.58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34.14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301.44</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2100499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335.58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34.14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301.44</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21007</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计划生育事务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288.15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288.15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2100799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其他计划生育事务支出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288.15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288.15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城乡社区支出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2,693.03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2,693.03</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城乡社区管理事务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1,957.71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1,957.71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2120199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其他城乡社区管理事务支出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1,957.71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1,957.71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21205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城乡社区环境卫生</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735.32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735.32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2120501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城乡社区环境卫生</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735.32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735.32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农林水支出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2,815.18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1,288.11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1,527.07</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农业农村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783.44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532.44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251.00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2130122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农业生产发展</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251.00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251.00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2130199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其他农业农村支出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532.44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532.44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49.17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49.17</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2130399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其他水利支出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49.17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49.17</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21307</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农村综合改革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1,073.90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1,073.90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2130706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对村集体经济组织的补助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1,073.90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1,073.90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21309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目标价格补贴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153.00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153.00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2130999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其他目标价格补贴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153.00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153.00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其他农林水支出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755.67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755.67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2139999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其他农林水支出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755.67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755.67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资源勘探工业信息等支出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498.58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355.07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143.51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21508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支持中小企业发展和管理支出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498.58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355.07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143.51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2150899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highlight w:val="none"/>
              </w:rPr>
            </w:pPr>
            <w:r>
              <w:rPr>
                <w:rFonts w:hint="eastAsia" w:ascii="仿宋" w:hAnsi="仿宋" w:eastAsia="仿宋" w:cs="仿宋"/>
                <w:highlight w:val="none"/>
              </w:rPr>
              <w:t xml:space="preserve">    其他支持中小企业发展和管理支出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498.58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355.07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r>
              <w:rPr>
                <w:rFonts w:hint="eastAsia" w:ascii="仿宋" w:hAnsi="仿宋" w:eastAsia="仿宋" w:cs="仿宋"/>
                <w:highlight w:val="none"/>
              </w:rPr>
              <w:t>143.51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highlight w:val="none"/>
              </w:rPr>
            </w:pPr>
          </w:p>
        </w:tc>
      </w:tr>
    </w:tbl>
    <w:p>
      <w:pPr>
        <w:spacing w:before="59"/>
        <w:rPr>
          <w:rFonts w:hint="eastAsia" w:ascii="仿宋" w:hAnsi="仿宋" w:eastAsia="仿宋" w:cs="仿宋"/>
          <w:highlight w:val="none"/>
        </w:rPr>
      </w:pPr>
      <w:r>
        <w:rPr>
          <w:rFonts w:hint="eastAsia" w:ascii="仿宋" w:hAnsi="仿宋" w:eastAsia="仿宋" w:cs="仿宋"/>
          <w:highlight w:val="none"/>
        </w:rPr>
        <w:t>注：本表反映本年度各项支出情况。本表金额单位转换时可能存在尾数误差。</w:t>
      </w:r>
    </w:p>
    <w:p>
      <w:pPr>
        <w:spacing w:before="59"/>
        <w:ind w:left="57"/>
        <w:rPr>
          <w:rFonts w:hint="eastAsia" w:ascii="仿宋" w:hAnsi="仿宋" w:eastAsia="仿宋" w:cs="仿宋"/>
          <w:highlight w:val="none"/>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3"/>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Layout w:type="fixed"/>
          <w:tblCellMar>
            <w:top w:w="55" w:type="dxa"/>
            <w:left w:w="55" w:type="dxa"/>
            <w:bottom w:w="55" w:type="dxa"/>
            <w:right w:w="55" w:type="dxa"/>
          </w:tblCellMar>
        </w:tblPrEx>
        <w:trPr>
          <w:trHeight w:val="319" w:hRule="atLeast"/>
        </w:trPr>
        <w:tc>
          <w:tcPr>
            <w:tcW w:w="15372" w:type="dxa"/>
            <w:gridSpan w:val="10"/>
          </w:tcPr>
          <w:p>
            <w:pPr>
              <w:pStyle w:val="22"/>
              <w:jc w:val="center"/>
              <w:rPr>
                <w:rFonts w:hint="eastAsia" w:ascii="仿宋" w:hAnsi="仿宋" w:eastAsia="仿宋" w:cs="仿宋"/>
                <w:b/>
                <w:bCs/>
                <w:sz w:val="44"/>
                <w:szCs w:val="44"/>
                <w:highlight w:val="none"/>
              </w:rPr>
            </w:pPr>
            <w:r>
              <w:rPr>
                <w:rFonts w:hint="eastAsia"/>
                <w:b/>
                <w:bCs/>
                <w:color w:val="000000"/>
                <w:sz w:val="36"/>
                <w:szCs w:val="36"/>
                <w:highlight w:val="none"/>
                <w:lang w:eastAsia="ar-SA"/>
              </w:rPr>
              <w:t>财政拨款收入支出决算总表</w:t>
            </w:r>
          </w:p>
        </w:tc>
      </w:tr>
      <w:tr>
        <w:tblPrEx>
          <w:tblLayout w:type="fixed"/>
          <w:tblCellMar>
            <w:top w:w="55" w:type="dxa"/>
            <w:left w:w="55" w:type="dxa"/>
            <w:bottom w:w="55" w:type="dxa"/>
            <w:right w:w="55" w:type="dxa"/>
          </w:tblCellMar>
        </w:tblPrEx>
        <w:trPr>
          <w:trHeight w:val="319" w:hRule="atLeast"/>
        </w:trPr>
        <w:tc>
          <w:tcPr>
            <w:tcW w:w="5562" w:type="dxa"/>
            <w:gridSpan w:val="2"/>
          </w:tcPr>
          <w:p>
            <w:pPr>
              <w:pStyle w:val="22"/>
              <w:rPr>
                <w:rFonts w:hint="eastAsia" w:ascii="仿宋" w:hAnsi="仿宋" w:eastAsia="仿宋" w:cs="仿宋"/>
                <w:sz w:val="20"/>
                <w:highlight w:val="none"/>
              </w:rPr>
            </w:pPr>
          </w:p>
        </w:tc>
        <w:tc>
          <w:tcPr>
            <w:tcW w:w="847" w:type="dxa"/>
          </w:tcPr>
          <w:p>
            <w:pPr>
              <w:pStyle w:val="22"/>
              <w:rPr>
                <w:rFonts w:hint="eastAsia" w:ascii="仿宋" w:hAnsi="仿宋" w:eastAsia="仿宋" w:cs="仿宋"/>
                <w:sz w:val="20"/>
                <w:highlight w:val="none"/>
              </w:rPr>
            </w:pPr>
          </w:p>
        </w:tc>
        <w:tc>
          <w:tcPr>
            <w:tcW w:w="1913" w:type="dxa"/>
          </w:tcPr>
          <w:p>
            <w:pPr>
              <w:pStyle w:val="22"/>
              <w:rPr>
                <w:rFonts w:hint="eastAsia" w:ascii="仿宋" w:hAnsi="仿宋" w:eastAsia="仿宋" w:cs="仿宋"/>
                <w:sz w:val="20"/>
                <w:highlight w:val="none"/>
              </w:rPr>
            </w:pPr>
          </w:p>
        </w:tc>
        <w:tc>
          <w:tcPr>
            <w:tcW w:w="2635" w:type="dxa"/>
            <w:gridSpan w:val="2"/>
          </w:tcPr>
          <w:p>
            <w:pPr>
              <w:pStyle w:val="22"/>
              <w:rPr>
                <w:rFonts w:hint="eastAsia" w:ascii="仿宋" w:hAnsi="仿宋" w:eastAsia="仿宋" w:cs="仿宋"/>
                <w:sz w:val="20"/>
                <w:highlight w:val="none"/>
              </w:rPr>
            </w:pPr>
          </w:p>
        </w:tc>
        <w:tc>
          <w:tcPr>
            <w:tcW w:w="1194" w:type="dxa"/>
          </w:tcPr>
          <w:p>
            <w:pPr>
              <w:pStyle w:val="22"/>
              <w:rPr>
                <w:rFonts w:hint="eastAsia" w:ascii="仿宋" w:hAnsi="仿宋" w:eastAsia="仿宋" w:cs="仿宋"/>
                <w:sz w:val="20"/>
                <w:highlight w:val="none"/>
              </w:rPr>
            </w:pPr>
          </w:p>
        </w:tc>
        <w:tc>
          <w:tcPr>
            <w:tcW w:w="3221" w:type="dxa"/>
            <w:gridSpan w:val="3"/>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公开04表</w:t>
            </w:r>
          </w:p>
        </w:tc>
      </w:tr>
      <w:tr>
        <w:tblPrEx>
          <w:tblLayout w:type="fixed"/>
          <w:tblCellMar>
            <w:top w:w="55" w:type="dxa"/>
            <w:left w:w="55" w:type="dxa"/>
            <w:bottom w:w="55" w:type="dxa"/>
            <w:right w:w="55" w:type="dxa"/>
          </w:tblCellMar>
        </w:tblPrEx>
        <w:trPr>
          <w:trHeight w:val="319" w:hRule="atLeast"/>
        </w:trPr>
        <w:tc>
          <w:tcPr>
            <w:tcW w:w="12151" w:type="dxa"/>
            <w:gridSpan w:val="7"/>
          </w:tcPr>
          <w:p>
            <w:pPr>
              <w:pStyle w:val="22"/>
              <w:rPr>
                <w:rFonts w:hint="eastAsia" w:ascii="仿宋" w:hAnsi="仿宋" w:eastAsia="仿宋" w:cs="仿宋"/>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3221" w:type="dxa"/>
            <w:gridSpan w:val="3"/>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highlight w:val="none"/>
              </w:rPr>
            </w:pPr>
            <w:r>
              <w:rPr>
                <w:rFonts w:hint="eastAsia" w:ascii="仿宋" w:hAnsi="仿宋" w:eastAsia="仿宋" w:cs="仿宋"/>
                <w:highlight w:val="none"/>
              </w:rPr>
              <w:t>收</w:t>
            </w:r>
            <w:r>
              <w:rPr>
                <w:rFonts w:hint="eastAsia" w:ascii="仿宋" w:hAnsi="仿宋" w:eastAsia="仿宋" w:cs="仿宋"/>
                <w:highlight w:val="none"/>
              </w:rPr>
              <w:tab/>
            </w:r>
            <w:r>
              <w:rPr>
                <w:rFonts w:hint="eastAsia" w:ascii="仿宋" w:hAnsi="仿宋" w:eastAsia="仿宋" w:cs="仿宋"/>
                <w:highlight w:val="none"/>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jc w:val="center"/>
              <w:rPr>
                <w:rFonts w:hint="eastAsia" w:ascii="仿宋" w:hAnsi="仿宋" w:eastAsia="仿宋" w:cs="仿宋"/>
                <w:highlight w:val="none"/>
              </w:rPr>
            </w:pPr>
            <w:r>
              <w:rPr>
                <w:rFonts w:hint="eastAsia" w:ascii="仿宋" w:hAnsi="仿宋" w:eastAsia="仿宋" w:cs="仿宋"/>
                <w:highlight w:val="none"/>
              </w:rPr>
              <w:t>支</w:t>
            </w:r>
            <w:r>
              <w:rPr>
                <w:rFonts w:hint="eastAsia" w:ascii="仿宋" w:hAnsi="仿宋" w:eastAsia="仿宋" w:cs="仿宋"/>
                <w:highlight w:val="none"/>
              </w:rPr>
              <w:tab/>
            </w:r>
            <w:r>
              <w:rPr>
                <w:rFonts w:hint="eastAsia" w:ascii="仿宋" w:hAnsi="仿宋" w:eastAsia="仿宋" w:cs="仿宋"/>
                <w:highlight w:val="none"/>
              </w:rPr>
              <w:t>出</w:t>
            </w:r>
          </w:p>
        </w:tc>
      </w:tr>
      <w:tr>
        <w:tblPrEx>
          <w:tblLayout w:type="fixed"/>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w:t>
            </w:r>
            <w:r>
              <w:rPr>
                <w:rFonts w:hint="eastAsia" w:ascii="仿宋" w:hAnsi="仿宋" w:eastAsia="仿宋" w:cs="仿宋"/>
                <w:highlight w:val="none"/>
              </w:rPr>
              <w:tab/>
            </w:r>
            <w:r>
              <w:rPr>
                <w:rFonts w:hint="eastAsia" w:ascii="仿宋" w:hAnsi="仿宋" w:eastAsia="仿宋" w:cs="仿宋"/>
                <w:highlight w:val="none"/>
              </w:rPr>
              <w:t>目</w:t>
            </w:r>
          </w:p>
        </w:tc>
        <w:tc>
          <w:tcPr>
            <w:tcW w:w="1837"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决算数</w:t>
            </w:r>
          </w:p>
        </w:tc>
        <w:tc>
          <w:tcPr>
            <w:tcW w:w="3667" w:type="dxa"/>
            <w:gridSpan w:val="3"/>
            <w:vMerge w:val="restart"/>
            <w:tcBorders>
              <w:left w:val="single" w:color="000000" w:sz="4" w:space="0"/>
              <w:bottom w:val="single" w:color="000000"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highlight w:val="none"/>
              </w:rPr>
            </w:pPr>
            <w:r>
              <w:rPr>
                <w:rFonts w:hint="eastAsia" w:ascii="仿宋" w:hAnsi="仿宋" w:eastAsia="仿宋" w:cs="仿宋"/>
                <w:highlight w:val="none"/>
              </w:rPr>
              <w:t>决算数</w:t>
            </w:r>
          </w:p>
        </w:tc>
      </w:tr>
      <w:tr>
        <w:tblPrEx>
          <w:tblLayout w:type="fixed"/>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rPr>
                <w:rFonts w:hint="eastAsia" w:ascii="仿宋" w:hAnsi="仿宋" w:eastAsia="仿宋" w:cs="仿宋"/>
                <w:highlight w:val="none"/>
              </w:rPr>
            </w:pPr>
          </w:p>
        </w:tc>
        <w:tc>
          <w:tcPr>
            <w:tcW w:w="1837" w:type="dxa"/>
            <w:vMerge w:val="continue"/>
            <w:tcBorders>
              <w:left w:val="single" w:color="000000" w:sz="4" w:space="0"/>
              <w:bottom w:val="single" w:color="000000" w:sz="4" w:space="0"/>
            </w:tcBorders>
          </w:tcPr>
          <w:p>
            <w:pPr>
              <w:pStyle w:val="22"/>
              <w:rPr>
                <w:rFonts w:hint="eastAsia" w:ascii="仿宋" w:hAnsi="仿宋" w:eastAsia="仿宋" w:cs="仿宋"/>
                <w:highlight w:val="none"/>
              </w:rPr>
            </w:pPr>
          </w:p>
        </w:tc>
        <w:tc>
          <w:tcPr>
            <w:tcW w:w="3667" w:type="dxa"/>
            <w:gridSpan w:val="3"/>
            <w:vMerge w:val="continue"/>
            <w:tcBorders>
              <w:left w:val="single" w:color="000000" w:sz="4" w:space="0"/>
              <w:bottom w:val="single" w:color="000000" w:sz="4" w:space="0"/>
            </w:tcBorders>
          </w:tcPr>
          <w:p>
            <w:pPr>
              <w:pStyle w:val="22"/>
              <w:rPr>
                <w:rFonts w:hint="eastAsia" w:ascii="仿宋" w:hAnsi="仿宋" w:eastAsia="仿宋" w:cs="仿宋"/>
                <w:highlight w:val="none"/>
              </w:rPr>
            </w:pPr>
          </w:p>
        </w:tc>
        <w:tc>
          <w:tcPr>
            <w:tcW w:w="1728"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ascii="仿宋" w:hAnsi="仿宋" w:eastAsia="仿宋" w:cs="仿宋"/>
                <w:highlight w:val="none"/>
                <w:u w:color="auto"/>
              </w:rPr>
              <w:t>小计</w:t>
            </w:r>
          </w:p>
        </w:tc>
        <w:tc>
          <w:tcPr>
            <w:tcW w:w="14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一般公共预算财政拨款</w:t>
            </w:r>
          </w:p>
        </w:tc>
        <w:tc>
          <w:tcPr>
            <w:tcW w:w="1500"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国有资本经营预算财政拨款</w:t>
            </w: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15,488.00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1,473.82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1,473.82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3,370.04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3,370.04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623.74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623.74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2,693.03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2,693.03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2,815.18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2,815.18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498.58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498.58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b/>
                <w:bCs/>
                <w:highlight w:val="none"/>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15,488.00</w:t>
            </w:r>
          </w:p>
        </w:tc>
        <w:tc>
          <w:tcPr>
            <w:tcW w:w="3667" w:type="dxa"/>
            <w:gridSpan w:val="3"/>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b/>
                <w:bCs/>
                <w:highlight w:val="none"/>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15,488.00</w:t>
            </w:r>
          </w:p>
        </w:tc>
        <w:tc>
          <w:tcPr>
            <w:tcW w:w="1415" w:type="dxa"/>
            <w:gridSpan w:val="2"/>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15,488.00</w:t>
            </w:r>
          </w:p>
        </w:tc>
        <w:tc>
          <w:tcPr>
            <w:tcW w:w="1500"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highlight w:val="none"/>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年初财政拨款结转和结余</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年末财政拨款结转和结余</w:t>
            </w: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highlight w:val="none"/>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一、一般公共预算财政拨款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highlight w:val="none"/>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highlight w:val="none"/>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二、政府性基金预算财政拨款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highlight w:val="none"/>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highlight w:val="none"/>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三、国有资本经营预算财政拨款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highlight w:val="none"/>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highlight w:val="none"/>
              </w:rPr>
            </w:pPr>
          </w:p>
        </w:tc>
      </w:tr>
      <w:tr>
        <w:tblPrEx>
          <w:tblLayout w:type="fixed"/>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b/>
                <w:bCs/>
                <w:highlight w:val="none"/>
              </w:rPr>
              <w:t>总计</w:t>
            </w:r>
          </w:p>
        </w:tc>
        <w:tc>
          <w:tcPr>
            <w:tcW w:w="1837" w:type="dxa"/>
            <w:tcBorders>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15,488.00</w:t>
            </w:r>
          </w:p>
        </w:tc>
        <w:tc>
          <w:tcPr>
            <w:tcW w:w="366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b/>
                <w:bCs/>
                <w:highlight w:val="none"/>
              </w:rPr>
              <w:t>总计</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15,488.00</w:t>
            </w:r>
          </w:p>
        </w:tc>
        <w:tc>
          <w:tcPr>
            <w:tcW w:w="1415" w:type="dxa"/>
            <w:gridSpan w:val="2"/>
            <w:tcBorders>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15,488.00</w:t>
            </w:r>
          </w:p>
        </w:tc>
        <w:tc>
          <w:tcPr>
            <w:tcW w:w="1500" w:type="dxa"/>
            <w:tcBorders>
              <w:left w:val="single" w:color="000000" w:sz="4" w:space="0"/>
              <w:bottom w:val="single" w:color="000000" w:sz="4" w:space="0"/>
            </w:tcBorders>
            <w:vAlign w:val="center"/>
          </w:tcPr>
          <w:p>
            <w:pPr>
              <w:jc w:val="right"/>
              <w:rPr>
                <w:rFonts w:hint="eastAsia" w:ascii="仿宋" w:hAnsi="仿宋" w:eastAsia="仿宋" w:cs="仿宋"/>
                <w:sz w:val="22"/>
                <w:szCs w:val="22"/>
                <w:highlight w:val="none"/>
              </w:rPr>
            </w:pPr>
          </w:p>
        </w:tc>
        <w:tc>
          <w:tcPr>
            <w:tcW w:w="1500"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highlight w:val="none"/>
              </w:rPr>
            </w:pPr>
          </w:p>
        </w:tc>
      </w:tr>
    </w:tbl>
    <w:p>
      <w:pPr>
        <w:jc w:val="both"/>
        <w:rPr>
          <w:rFonts w:hint="eastAsia" w:ascii="仿宋" w:hAnsi="仿宋" w:eastAsia="仿宋" w:cs="仿宋"/>
          <w:highlight w:val="none"/>
        </w:rPr>
      </w:pPr>
      <w:r>
        <w:rPr>
          <w:rFonts w:hint="eastAsia" w:ascii="仿宋" w:hAnsi="仿宋" w:eastAsia="仿宋" w:cs="仿宋"/>
          <w:highlight w:val="none"/>
          <w:lang w:val="en-US"/>
        </w:rPr>
        <w:t>注：</w:t>
      </w:r>
      <w:r>
        <w:rPr>
          <w:rFonts w:hint="eastAsia" w:ascii="仿宋" w:hAnsi="仿宋" w:eastAsia="仿宋" w:cs="仿宋"/>
          <w:highlight w:val="none"/>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highlight w:val="none"/>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Layout w:type="fixed"/>
          <w:tblCellMar>
            <w:top w:w="55" w:type="dxa"/>
            <w:left w:w="55" w:type="dxa"/>
            <w:bottom w:w="55" w:type="dxa"/>
            <w:right w:w="55" w:type="dxa"/>
          </w:tblCellMar>
        </w:tblPrEx>
        <w:trPr>
          <w:trHeight w:val="321" w:hRule="atLeast"/>
        </w:trPr>
        <w:tc>
          <w:tcPr>
            <w:tcW w:w="15417" w:type="dxa"/>
            <w:gridSpan w:val="5"/>
            <w:vAlign w:val="center"/>
          </w:tcPr>
          <w:p>
            <w:pPr>
              <w:pStyle w:val="22"/>
              <w:jc w:val="center"/>
              <w:rPr>
                <w:rFonts w:hint="eastAsia" w:ascii="仿宋" w:hAnsi="仿宋" w:eastAsia="仿宋" w:cs="仿宋"/>
                <w:b/>
                <w:bCs/>
                <w:sz w:val="44"/>
                <w:szCs w:val="44"/>
                <w:highlight w:val="none"/>
              </w:rPr>
            </w:pPr>
            <w:r>
              <w:rPr>
                <w:rFonts w:hint="eastAsia"/>
                <w:b/>
                <w:bCs/>
                <w:color w:val="000000"/>
                <w:sz w:val="36"/>
                <w:szCs w:val="36"/>
                <w:highlight w:val="none"/>
                <w:lang w:eastAsia="ar-SA"/>
              </w:rPr>
              <w:t>财政拨款支出决算表（功能科目）</w:t>
            </w:r>
          </w:p>
        </w:tc>
      </w:tr>
      <w:tr>
        <w:tblPrEx>
          <w:tblLayout w:type="fixed"/>
          <w:tblCellMar>
            <w:top w:w="55" w:type="dxa"/>
            <w:left w:w="55" w:type="dxa"/>
            <w:bottom w:w="55" w:type="dxa"/>
            <w:right w:w="55" w:type="dxa"/>
          </w:tblCellMar>
        </w:tblPrEx>
        <w:trPr>
          <w:trHeight w:val="321" w:hRule="atLeast"/>
        </w:trPr>
        <w:tc>
          <w:tcPr>
            <w:tcW w:w="6300" w:type="dxa"/>
            <w:gridSpan w:val="2"/>
          </w:tcPr>
          <w:p>
            <w:pPr>
              <w:pStyle w:val="22"/>
              <w:rPr>
                <w:rFonts w:hint="eastAsia" w:ascii="仿宋" w:hAnsi="仿宋" w:eastAsia="仿宋" w:cs="仿宋"/>
                <w:sz w:val="20"/>
                <w:highlight w:val="none"/>
              </w:rPr>
            </w:pPr>
          </w:p>
        </w:tc>
        <w:tc>
          <w:tcPr>
            <w:tcW w:w="3184" w:type="dxa"/>
          </w:tcPr>
          <w:p>
            <w:pPr>
              <w:pStyle w:val="22"/>
              <w:rPr>
                <w:rFonts w:hint="eastAsia" w:ascii="仿宋" w:hAnsi="仿宋" w:eastAsia="仿宋" w:cs="仿宋"/>
                <w:sz w:val="27"/>
                <w:highlight w:val="none"/>
              </w:rPr>
            </w:pPr>
          </w:p>
        </w:tc>
        <w:tc>
          <w:tcPr>
            <w:tcW w:w="5933" w:type="dxa"/>
            <w:gridSpan w:val="2"/>
            <w:vAlign w:val="center"/>
          </w:tcPr>
          <w:p>
            <w:pPr>
              <w:pStyle w:val="22"/>
              <w:jc w:val="right"/>
              <w:rPr>
                <w:rFonts w:hint="eastAsia" w:ascii="仿宋" w:hAnsi="仿宋" w:eastAsia="仿宋" w:cs="仿宋"/>
                <w:sz w:val="27"/>
                <w:highlight w:val="none"/>
              </w:rPr>
            </w:pPr>
            <w:r>
              <w:rPr>
                <w:rFonts w:hint="eastAsia" w:ascii="仿宋" w:hAnsi="仿宋" w:eastAsia="仿宋" w:cs="仿宋"/>
                <w:highlight w:val="none"/>
              </w:rPr>
              <w:t>公开05表</w:t>
            </w:r>
          </w:p>
        </w:tc>
      </w:tr>
      <w:tr>
        <w:tblPrEx>
          <w:tblLayout w:type="fixed"/>
          <w:tblCellMar>
            <w:top w:w="55" w:type="dxa"/>
            <w:left w:w="55" w:type="dxa"/>
            <w:bottom w:w="55" w:type="dxa"/>
            <w:right w:w="55" w:type="dxa"/>
          </w:tblCellMar>
        </w:tblPrEx>
        <w:trPr>
          <w:trHeight w:val="288" w:hRule="atLeast"/>
        </w:trPr>
        <w:tc>
          <w:tcPr>
            <w:tcW w:w="6300" w:type="dxa"/>
            <w:gridSpan w:val="2"/>
          </w:tcPr>
          <w:p>
            <w:pPr>
              <w:pStyle w:val="22"/>
              <w:rPr>
                <w:rFonts w:hint="eastAsia" w:ascii="仿宋" w:hAnsi="仿宋" w:eastAsia="仿宋" w:cs="仿宋"/>
                <w:sz w:val="20"/>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3184" w:type="dxa"/>
          </w:tcPr>
          <w:p>
            <w:pPr>
              <w:pStyle w:val="22"/>
              <w:rPr>
                <w:rFonts w:hint="eastAsia" w:ascii="仿宋" w:hAnsi="仿宋" w:eastAsia="仿宋" w:cs="仿宋"/>
                <w:sz w:val="27"/>
                <w:highlight w:val="none"/>
              </w:rPr>
            </w:pPr>
          </w:p>
        </w:tc>
        <w:tc>
          <w:tcPr>
            <w:tcW w:w="2778" w:type="dxa"/>
            <w:vAlign w:val="center"/>
          </w:tcPr>
          <w:p>
            <w:pPr>
              <w:pStyle w:val="22"/>
              <w:jc w:val="right"/>
              <w:rPr>
                <w:rFonts w:hint="eastAsia" w:ascii="仿宋" w:hAnsi="仿宋" w:eastAsia="仿宋" w:cs="仿宋"/>
                <w:sz w:val="27"/>
                <w:highlight w:val="none"/>
              </w:rPr>
            </w:pPr>
          </w:p>
        </w:tc>
        <w:tc>
          <w:tcPr>
            <w:tcW w:w="3155" w:type="dxa"/>
            <w:vAlign w:val="center"/>
          </w:tcPr>
          <w:p>
            <w:pPr>
              <w:pStyle w:val="22"/>
              <w:jc w:val="right"/>
              <w:rPr>
                <w:rFonts w:hint="eastAsia" w:ascii="仿宋" w:hAnsi="仿宋" w:eastAsia="仿宋" w:cs="仿宋"/>
                <w:sz w:val="27"/>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w:t>
            </w:r>
            <w:r>
              <w:rPr>
                <w:rFonts w:hint="eastAsia" w:ascii="仿宋" w:hAnsi="仿宋" w:eastAsia="仿宋" w:cs="仿宋"/>
                <w:highlight w:val="none"/>
              </w:rPr>
              <w:tab/>
            </w:r>
            <w:r>
              <w:rPr>
                <w:rFonts w:hint="eastAsia" w:ascii="仿宋" w:hAnsi="仿宋" w:eastAsia="仿宋" w:cs="仿宋"/>
                <w:highlight w:val="none"/>
              </w:rPr>
              <w:t>目</w:t>
            </w:r>
          </w:p>
        </w:tc>
        <w:tc>
          <w:tcPr>
            <w:tcW w:w="3184"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项目支出</w:t>
            </w:r>
          </w:p>
        </w:tc>
      </w:tr>
      <w:tr>
        <w:tblPrEx>
          <w:tblLayout w:type="fixed"/>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功能分类</w:t>
            </w:r>
          </w:p>
          <w:p>
            <w:pPr>
              <w:pStyle w:val="22"/>
              <w:jc w:val="center"/>
              <w:rPr>
                <w:rFonts w:hint="eastAsia" w:ascii="仿宋" w:hAnsi="仿宋" w:eastAsia="仿宋" w:cs="仿宋"/>
                <w:highlight w:val="none"/>
              </w:rPr>
            </w:pPr>
            <w:r>
              <w:rPr>
                <w:rFonts w:hint="eastAsia" w:ascii="仿宋" w:hAnsi="仿宋" w:eastAsia="仿宋" w:cs="仿宋"/>
                <w:highlight w:val="none"/>
              </w:rPr>
              <w:t>科目编码</w:t>
            </w:r>
          </w:p>
        </w:tc>
        <w:tc>
          <w:tcPr>
            <w:tcW w:w="5022" w:type="dxa"/>
            <w:tcBorders>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科目名称</w:t>
            </w:r>
          </w:p>
        </w:tc>
        <w:tc>
          <w:tcPr>
            <w:tcW w:w="3184" w:type="dxa"/>
            <w:vMerge w:val="continue"/>
            <w:tcBorders>
              <w:left w:val="single" w:color="000000" w:sz="6" w:space="0"/>
              <w:bottom w:val="single" w:color="000000" w:sz="6" w:space="0"/>
            </w:tcBorders>
          </w:tcPr>
          <w:p>
            <w:pPr>
              <w:rPr>
                <w:rFonts w:hint="eastAsia" w:ascii="仿宋" w:hAnsi="仿宋" w:eastAsia="仿宋" w:cs="仿宋"/>
                <w:highlight w:val="none"/>
              </w:rPr>
            </w:pPr>
          </w:p>
        </w:tc>
        <w:tc>
          <w:tcPr>
            <w:tcW w:w="2778" w:type="dxa"/>
            <w:vMerge w:val="continue"/>
            <w:tcBorders>
              <w:left w:val="single" w:color="000000" w:sz="6" w:space="0"/>
              <w:bottom w:val="single" w:color="000000" w:sz="6" w:space="0"/>
            </w:tcBorders>
          </w:tcPr>
          <w:p>
            <w:pPr>
              <w:rPr>
                <w:rFonts w:hint="eastAsia" w:ascii="仿宋" w:hAnsi="仿宋" w:eastAsia="仿宋" w:cs="仿宋"/>
                <w:highlight w:val="none"/>
              </w:rPr>
            </w:pPr>
          </w:p>
        </w:tc>
        <w:tc>
          <w:tcPr>
            <w:tcW w:w="3155" w:type="dxa"/>
            <w:vMerge w:val="continue"/>
            <w:tcBorders>
              <w:left w:val="single" w:color="000000" w:sz="6" w:space="0"/>
              <w:bottom w:val="single" w:color="000000" w:sz="6" w:space="0"/>
              <w:right w:val="single" w:color="000000" w:sz="6" w:space="0"/>
            </w:tcBorders>
          </w:tcPr>
          <w:p>
            <w:pPr>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栏次</w:t>
            </w:r>
          </w:p>
        </w:tc>
        <w:tc>
          <w:tcPr>
            <w:tcW w:w="3184" w:type="dxa"/>
            <w:tcBorders>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1</w:t>
            </w:r>
          </w:p>
        </w:tc>
        <w:tc>
          <w:tcPr>
            <w:tcW w:w="2778" w:type="dxa"/>
            <w:tcBorders>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2</w:t>
            </w:r>
          </w:p>
        </w:tc>
        <w:tc>
          <w:tcPr>
            <w:tcW w:w="3155"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3</w:t>
            </w:r>
          </w:p>
        </w:tc>
      </w:tr>
      <w:tr>
        <w:tblPrEx>
          <w:tblLayout w:type="fixed"/>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合计</w:t>
            </w:r>
          </w:p>
        </w:tc>
        <w:tc>
          <w:tcPr>
            <w:tcW w:w="3184" w:type="dxa"/>
            <w:tcBorders>
              <w:left w:val="single" w:color="000000" w:sz="6" w:space="0"/>
              <w:bottom w:val="single" w:color="000000" w:sz="6" w:space="0"/>
            </w:tcBorders>
          </w:tcPr>
          <w:p>
            <w:pPr>
              <w:pStyle w:val="22"/>
              <w:jc w:val="right"/>
              <w:rPr>
                <w:rFonts w:hint="eastAsia" w:ascii="仿宋" w:hAnsi="仿宋" w:eastAsia="仿宋" w:cs="仿宋"/>
                <w:highlight w:val="none"/>
              </w:rPr>
            </w:pPr>
            <w:r>
              <w:rPr>
                <w:rFonts w:hint="eastAsia" w:ascii="仿宋" w:hAnsi="仿宋" w:eastAsia="仿宋" w:cs="仿宋"/>
                <w:highlight w:val="none"/>
              </w:rPr>
              <w:t>15,488.00</w:t>
            </w:r>
          </w:p>
        </w:tc>
        <w:tc>
          <w:tcPr>
            <w:tcW w:w="2778" w:type="dxa"/>
            <w:tcBorders>
              <w:left w:val="single" w:color="000000" w:sz="6" w:space="0"/>
              <w:bottom w:val="single" w:color="000000" w:sz="6" w:space="0"/>
            </w:tcBorders>
          </w:tcPr>
          <w:p>
            <w:pPr>
              <w:pStyle w:val="22"/>
              <w:jc w:val="right"/>
              <w:rPr>
                <w:rFonts w:hint="eastAsia" w:ascii="仿宋" w:hAnsi="仿宋" w:eastAsia="仿宋" w:cs="仿宋"/>
                <w:highlight w:val="none"/>
              </w:rPr>
            </w:pPr>
            <w:r>
              <w:rPr>
                <w:rFonts w:hint="eastAsia" w:ascii="仿宋" w:hAnsi="仿宋" w:eastAsia="仿宋" w:cs="仿宋"/>
                <w:highlight w:val="none"/>
              </w:rPr>
              <w:t>12,273.52</w:t>
            </w:r>
          </w:p>
        </w:tc>
        <w:tc>
          <w:tcPr>
            <w:tcW w:w="3155" w:type="dxa"/>
            <w:tcBorders>
              <w:left w:val="single" w:color="000000" w:sz="6" w:space="0"/>
              <w:bottom w:val="single" w:color="000000" w:sz="6" w:space="0"/>
              <w:right w:val="single" w:color="000000" w:sz="6" w:space="0"/>
            </w:tcBorders>
          </w:tcPr>
          <w:p>
            <w:pPr>
              <w:pStyle w:val="22"/>
              <w:jc w:val="right"/>
              <w:rPr>
                <w:rFonts w:hint="eastAsia" w:ascii="仿宋" w:hAnsi="仿宋" w:eastAsia="仿宋" w:cs="仿宋"/>
                <w:highlight w:val="none"/>
              </w:rPr>
            </w:pPr>
            <w:r>
              <w:rPr>
                <w:rFonts w:hint="eastAsia" w:ascii="仿宋" w:hAnsi="仿宋" w:eastAsia="仿宋" w:cs="仿宋"/>
                <w:highlight w:val="none"/>
              </w:rPr>
              <w:t>3,214.48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2010301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1,473.82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448.91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1,024.91</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20402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公安</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1,473.82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448.91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1,024.91</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2040299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其他公安支出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1,473.82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448.91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1,024.91</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普通教育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学前教育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182.55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182.55</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小学教育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35.00</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207</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20701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文化和旅游</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2070109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群众文化</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3,370.04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3,370.04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民政管理事务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367.66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367.66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基层政权建设和社区治理</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14.57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14.57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2080299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其他民政管理事务支出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353.09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353.09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592.20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592.20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592.20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592.20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抚恤</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539.57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539.57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死亡抚恤</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24.60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24.60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伤残抚恤</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70.75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70.75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在乡复员、退伍军人生活补助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27.00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27.00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其他优抚支出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417.22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417.22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退役安置</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10.67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10.67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2080902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军队移交政府的离退休人员安置</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10.67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10.67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特困人员救助供养</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322.69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322.69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农村特困人员救助供养支出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322.69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322.69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其他生活救助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1,053.75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1,053.75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2082502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其他农村生活救助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1,053.75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1,053.75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483.50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483.50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483.50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483.50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623.74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322.30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301.44</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335.58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34.14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301.44</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335.58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34.14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301.44</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21007</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计划生育事务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288.15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288.15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2100799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其他计划生育事务支出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288.15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288.15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2,693.03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2,693.03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城乡社区管理事务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1,957.71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1,957.71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2120199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其他城乡社区管理事务支出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1,957.71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1,957.71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城乡社区环境卫生</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735.32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735.32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2120501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城乡社区环境卫生</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735.32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735.32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2,815.18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1,288.11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1,527.07</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农业农村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783.44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532.44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251.00</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2130122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农业生产发展</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251.00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251.00</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2130199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其他农业农村支出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532.44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532.44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49.17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49.17</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2130399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其他水利支出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49.17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49.17</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21307</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农村综合改革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1,073.90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1,073.90</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2130706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对村集体经济组织的补助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1,073.90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1,073.90</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目标价格补贴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153.00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153.00</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其他目标价格补贴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153.00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153.00</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755.67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755.67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755.67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755.67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资源勘探工业信息等支出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498.58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355.07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143.51</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21508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支持中小企业发展和管理支出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498.58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355.07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143.51</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2150899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其他支持中小企业发展和管理支出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498.58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355.07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143.51</w:t>
            </w:r>
          </w:p>
        </w:tc>
      </w:tr>
    </w:tbl>
    <w:p>
      <w:pPr>
        <w:tabs>
          <w:tab w:val="left" w:pos="0"/>
        </w:tabs>
        <w:jc w:val="both"/>
        <w:rPr>
          <w:rFonts w:hint="eastAsia" w:ascii="仿宋" w:hAnsi="仿宋" w:eastAsia="仿宋" w:cs="仿宋"/>
          <w:highlight w:val="none"/>
        </w:rPr>
      </w:pPr>
      <w:r>
        <w:rPr>
          <w:rFonts w:hint="eastAsia" w:ascii="仿宋" w:hAnsi="仿宋" w:eastAsia="仿宋" w:cs="仿宋"/>
          <w:highlight w:val="none"/>
        </w:rPr>
        <w:t>注：本表反映本年度一般公共预算财政拨款、政府性基金预算财政拨款和国有资本经营预算财政拨款支出情况。本表金额单位转换时可能存在尾数误差。</w:t>
      </w:r>
    </w:p>
    <w:p>
      <w:pPr>
        <w:tabs>
          <w:tab w:val="left" w:pos="55"/>
        </w:tabs>
        <w:jc w:val="both"/>
        <w:rPr>
          <w:rFonts w:hint="eastAsia" w:ascii="仿宋" w:hAnsi="仿宋" w:eastAsia="仿宋" w:cs="仿宋"/>
          <w:highlight w:val="none"/>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Layout w:type="fixed"/>
          <w:tblCellMar>
            <w:top w:w="55" w:type="dxa"/>
            <w:left w:w="55" w:type="dxa"/>
            <w:bottom w:w="55" w:type="dxa"/>
            <w:right w:w="55" w:type="dxa"/>
          </w:tblCellMar>
        </w:tblPrEx>
        <w:trPr>
          <w:trHeight w:val="319" w:hRule="atLeast"/>
        </w:trPr>
        <w:tc>
          <w:tcPr>
            <w:tcW w:w="10515" w:type="dxa"/>
            <w:gridSpan w:val="5"/>
            <w:vAlign w:val="center"/>
          </w:tcPr>
          <w:p>
            <w:pPr>
              <w:pStyle w:val="22"/>
              <w:jc w:val="center"/>
              <w:rPr>
                <w:rFonts w:hint="eastAsia" w:ascii="仿宋" w:hAnsi="仿宋" w:eastAsia="仿宋" w:cs="仿宋"/>
                <w:b/>
                <w:bCs/>
                <w:sz w:val="44"/>
                <w:szCs w:val="44"/>
                <w:highlight w:val="none"/>
              </w:rPr>
            </w:pPr>
            <w:r>
              <w:rPr>
                <w:rFonts w:hint="eastAsia"/>
                <w:b/>
                <w:bCs/>
                <w:color w:val="000000"/>
                <w:sz w:val="36"/>
                <w:szCs w:val="36"/>
                <w:highlight w:val="none"/>
                <w:lang w:eastAsia="ar-SA"/>
              </w:rPr>
              <w:t>财政拨款基本支出决算表（经济科目）</w:t>
            </w:r>
          </w:p>
        </w:tc>
      </w:tr>
      <w:tr>
        <w:tblPrEx>
          <w:tblLayout w:type="fixed"/>
          <w:tblCellMar>
            <w:top w:w="55" w:type="dxa"/>
            <w:left w:w="55" w:type="dxa"/>
            <w:bottom w:w="55" w:type="dxa"/>
            <w:right w:w="55" w:type="dxa"/>
          </w:tblCellMar>
        </w:tblPrEx>
        <w:trPr>
          <w:trHeight w:val="319" w:hRule="atLeast"/>
        </w:trPr>
        <w:tc>
          <w:tcPr>
            <w:tcW w:w="4532" w:type="dxa"/>
            <w:gridSpan w:val="2"/>
          </w:tcPr>
          <w:p>
            <w:pPr>
              <w:pStyle w:val="22"/>
              <w:rPr>
                <w:rFonts w:hint="eastAsia" w:ascii="仿宋" w:hAnsi="仿宋" w:eastAsia="仿宋" w:cs="仿宋"/>
                <w:sz w:val="20"/>
                <w:highlight w:val="none"/>
              </w:rPr>
            </w:pPr>
          </w:p>
        </w:tc>
        <w:tc>
          <w:tcPr>
            <w:tcW w:w="2047" w:type="dxa"/>
          </w:tcPr>
          <w:p>
            <w:pPr>
              <w:pStyle w:val="22"/>
              <w:rPr>
                <w:rFonts w:hint="eastAsia" w:ascii="仿宋" w:hAnsi="仿宋" w:eastAsia="仿宋" w:cs="仿宋"/>
                <w:sz w:val="20"/>
                <w:highlight w:val="none"/>
              </w:rPr>
            </w:pPr>
          </w:p>
        </w:tc>
        <w:tc>
          <w:tcPr>
            <w:tcW w:w="2040" w:type="dxa"/>
          </w:tcPr>
          <w:p>
            <w:pPr>
              <w:pStyle w:val="22"/>
              <w:rPr>
                <w:rFonts w:hint="eastAsia" w:ascii="仿宋" w:hAnsi="仿宋" w:eastAsia="仿宋" w:cs="仿宋"/>
                <w:sz w:val="20"/>
                <w:highlight w:val="none"/>
              </w:rPr>
            </w:pPr>
          </w:p>
        </w:tc>
        <w:tc>
          <w:tcPr>
            <w:tcW w:w="1896" w:type="dxa"/>
            <w:vAlign w:val="center"/>
          </w:tcPr>
          <w:p>
            <w:pPr>
              <w:pStyle w:val="22"/>
              <w:jc w:val="right"/>
              <w:rPr>
                <w:rFonts w:hint="eastAsia" w:ascii="仿宋" w:hAnsi="仿宋" w:eastAsia="仿宋" w:cs="仿宋"/>
                <w:sz w:val="20"/>
                <w:highlight w:val="none"/>
              </w:rPr>
            </w:pPr>
            <w:r>
              <w:rPr>
                <w:rFonts w:hint="eastAsia" w:ascii="仿宋" w:hAnsi="仿宋" w:eastAsia="仿宋" w:cs="仿宋"/>
                <w:highlight w:val="none"/>
              </w:rPr>
              <w:t>公开06表</w:t>
            </w:r>
          </w:p>
        </w:tc>
      </w:tr>
      <w:tr>
        <w:tblPrEx>
          <w:tblLayout w:type="fixed"/>
          <w:tblCellMar>
            <w:top w:w="55" w:type="dxa"/>
            <w:left w:w="55" w:type="dxa"/>
            <w:bottom w:w="55" w:type="dxa"/>
            <w:right w:w="55" w:type="dxa"/>
          </w:tblCellMar>
        </w:tblPrEx>
        <w:trPr>
          <w:trHeight w:val="319" w:hRule="atLeast"/>
        </w:trPr>
        <w:tc>
          <w:tcPr>
            <w:tcW w:w="8619" w:type="dxa"/>
            <w:gridSpan w:val="4"/>
          </w:tcPr>
          <w:p>
            <w:pPr>
              <w:pStyle w:val="22"/>
              <w:rPr>
                <w:rFonts w:hint="eastAsia" w:ascii="仿宋" w:hAnsi="仿宋" w:eastAsia="仿宋" w:cs="仿宋"/>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1896" w:type="dxa"/>
            <w:vAlign w:val="center"/>
          </w:tcPr>
          <w:p>
            <w:pPr>
              <w:pStyle w:val="22"/>
              <w:jc w:val="right"/>
              <w:rPr>
                <w:rFonts w:hint="eastAsia" w:ascii="仿宋" w:hAnsi="仿宋" w:eastAsia="仿宋" w:cs="仿宋"/>
                <w:sz w:val="20"/>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w:t>
            </w:r>
            <w:r>
              <w:rPr>
                <w:rFonts w:hint="eastAsia" w:ascii="仿宋" w:hAnsi="仿宋" w:eastAsia="仿宋" w:cs="仿宋"/>
                <w:highlight w:val="none"/>
              </w:rPr>
              <w:tab/>
            </w:r>
            <w:r>
              <w:rPr>
                <w:rFonts w:hint="eastAsia" w:ascii="仿宋" w:hAnsi="仿宋" w:eastAsia="仿宋" w:cs="仿宋"/>
                <w:highlight w:val="none"/>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highlight w:val="none"/>
              </w:rPr>
            </w:pPr>
            <w:r>
              <w:rPr>
                <w:rFonts w:hint="eastAsia" w:ascii="仿宋" w:hAnsi="仿宋" w:eastAsia="仿宋" w:cs="仿宋"/>
                <w:highlight w:val="none"/>
              </w:rPr>
              <w:t>财政拨款基本支出</w:t>
            </w:r>
          </w:p>
        </w:tc>
      </w:tr>
      <w:tr>
        <w:tblPrEx>
          <w:tblLayout w:type="fixed"/>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经济分类科目编码</w:t>
            </w:r>
          </w:p>
        </w:tc>
        <w:tc>
          <w:tcPr>
            <w:tcW w:w="3542"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科目名称</w:t>
            </w:r>
          </w:p>
        </w:tc>
        <w:tc>
          <w:tcPr>
            <w:tcW w:w="2047"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合计</w:t>
            </w:r>
          </w:p>
        </w:tc>
        <w:tc>
          <w:tcPr>
            <w:tcW w:w="2040"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人员经费</w:t>
            </w:r>
          </w:p>
        </w:tc>
        <w:tc>
          <w:tcPr>
            <w:tcW w:w="1896"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公用经费</w:t>
            </w:r>
          </w:p>
        </w:tc>
      </w:tr>
      <w:tr>
        <w:tblPrEx>
          <w:tblLayout w:type="fixed"/>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ascii="仿宋" w:hAnsi="仿宋" w:eastAsia="仿宋" w:cs="仿宋"/>
                <w:highlight w:val="none"/>
                <w:u w:color="auto"/>
              </w:rPr>
              <w:t>合计</w:t>
            </w:r>
          </w:p>
        </w:tc>
        <w:tc>
          <w:tcPr>
            <w:tcW w:w="204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12,273.52</w:t>
            </w:r>
          </w:p>
        </w:tc>
        <w:tc>
          <w:tcPr>
            <w:tcW w:w="204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11,713.99</w:t>
            </w:r>
          </w:p>
        </w:tc>
        <w:tc>
          <w:tcPr>
            <w:tcW w:w="1896"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559.53</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7,678.18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7,678.18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593.30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1,020.60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2,712.46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2,712.46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208.53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208.53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104.26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104.26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109.55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109.55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25.79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337.50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459.76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459.76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26.16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2,080.28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2,080.28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559.53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559.53</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24.91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24.91</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5.11</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91.84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91.84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117.48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117.48</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0.88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0.88</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3.56</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1.23</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0.34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164.53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164.53</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4.72</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144.92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144.92</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4,035.81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4,035.81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603.42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603.42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3,339.63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3,339.63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32.42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60.34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bl>
    <w:p>
      <w:pPr>
        <w:tabs>
          <w:tab w:val="left" w:pos="660"/>
          <w:tab w:val="left" w:pos="10780"/>
        </w:tabs>
        <w:spacing w:before="25" w:line="290" w:lineRule="auto"/>
        <w:jc w:val="both"/>
        <w:rPr>
          <w:rFonts w:hint="eastAsia" w:ascii="仿宋" w:hAnsi="仿宋" w:eastAsia="仿宋" w:cs="仿宋"/>
          <w:highlight w:val="none"/>
        </w:rPr>
      </w:pPr>
      <w:r>
        <w:rPr>
          <w:rFonts w:hint="eastAsia" w:ascii="仿宋" w:hAnsi="仿宋" w:eastAsia="仿宋" w:cs="仿宋"/>
          <w:highlight w:val="none"/>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hint="eastAsia" w:ascii="仿宋" w:hAnsi="仿宋" w:eastAsia="仿宋" w:cs="仿宋"/>
          <w:highlight w:val="none"/>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3"/>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Layout w:type="fixed"/>
          <w:tblCellMar>
            <w:top w:w="55" w:type="dxa"/>
            <w:left w:w="55" w:type="dxa"/>
            <w:bottom w:w="55" w:type="dxa"/>
            <w:right w:w="55" w:type="dxa"/>
          </w:tblCellMar>
        </w:tblPrEx>
        <w:trPr>
          <w:trHeight w:val="560" w:hRule="atLeast"/>
        </w:trPr>
        <w:tc>
          <w:tcPr>
            <w:tcW w:w="10446" w:type="dxa"/>
            <w:gridSpan w:val="5"/>
            <w:vAlign w:val="center"/>
          </w:tcPr>
          <w:p>
            <w:pPr>
              <w:pStyle w:val="22"/>
              <w:jc w:val="center"/>
              <w:rPr>
                <w:rFonts w:hint="eastAsia" w:ascii="仿宋" w:hAnsi="仿宋" w:eastAsia="仿宋" w:cs="仿宋"/>
                <w:b/>
                <w:bCs/>
                <w:sz w:val="44"/>
                <w:szCs w:val="44"/>
                <w:highlight w:val="none"/>
              </w:rPr>
            </w:pPr>
            <w:r>
              <w:rPr>
                <w:rFonts w:hint="eastAsia"/>
                <w:b/>
                <w:bCs/>
                <w:color w:val="000000"/>
                <w:sz w:val="36"/>
                <w:szCs w:val="36"/>
                <w:highlight w:val="none"/>
                <w:lang w:eastAsia="ar-SA"/>
              </w:rPr>
              <w:t>一般公共预算支出决算表（功能科目）</w:t>
            </w:r>
          </w:p>
        </w:tc>
      </w:tr>
      <w:tr>
        <w:tblPrEx>
          <w:tblLayout w:type="fixed"/>
          <w:tblCellMar>
            <w:top w:w="55" w:type="dxa"/>
            <w:left w:w="55" w:type="dxa"/>
            <w:bottom w:w="55" w:type="dxa"/>
            <w:right w:w="55" w:type="dxa"/>
          </w:tblCellMar>
        </w:tblPrEx>
        <w:trPr>
          <w:trHeight w:val="147" w:hRule="atLeast"/>
        </w:trPr>
        <w:tc>
          <w:tcPr>
            <w:tcW w:w="5466" w:type="dxa"/>
            <w:gridSpan w:val="2"/>
          </w:tcPr>
          <w:p>
            <w:pPr>
              <w:pStyle w:val="22"/>
              <w:rPr>
                <w:rFonts w:hint="eastAsia" w:ascii="仿宋" w:hAnsi="仿宋" w:eastAsia="仿宋" w:cs="仿宋"/>
                <w:sz w:val="20"/>
                <w:highlight w:val="none"/>
              </w:rPr>
            </w:pPr>
          </w:p>
        </w:tc>
        <w:tc>
          <w:tcPr>
            <w:tcW w:w="1969" w:type="dxa"/>
          </w:tcPr>
          <w:p>
            <w:pPr>
              <w:pStyle w:val="22"/>
              <w:rPr>
                <w:rFonts w:hint="eastAsia" w:ascii="仿宋" w:hAnsi="仿宋" w:eastAsia="仿宋" w:cs="仿宋"/>
                <w:sz w:val="20"/>
                <w:highlight w:val="none"/>
              </w:rPr>
            </w:pPr>
          </w:p>
        </w:tc>
        <w:tc>
          <w:tcPr>
            <w:tcW w:w="1499" w:type="dxa"/>
          </w:tcPr>
          <w:p>
            <w:pPr>
              <w:pStyle w:val="22"/>
              <w:rPr>
                <w:rFonts w:hint="eastAsia" w:ascii="仿宋" w:hAnsi="仿宋" w:eastAsia="仿宋" w:cs="仿宋"/>
                <w:sz w:val="20"/>
                <w:highlight w:val="none"/>
              </w:rPr>
            </w:pPr>
          </w:p>
        </w:tc>
        <w:tc>
          <w:tcPr>
            <w:tcW w:w="1512" w:type="dxa"/>
            <w:vAlign w:val="center"/>
          </w:tcPr>
          <w:p>
            <w:pPr>
              <w:pStyle w:val="22"/>
              <w:jc w:val="right"/>
              <w:rPr>
                <w:rFonts w:hint="eastAsia" w:ascii="仿宋" w:hAnsi="仿宋" w:eastAsia="仿宋" w:cs="仿宋"/>
                <w:sz w:val="20"/>
                <w:highlight w:val="none"/>
              </w:rPr>
            </w:pPr>
            <w:r>
              <w:rPr>
                <w:rFonts w:hint="eastAsia" w:ascii="仿宋" w:hAnsi="仿宋" w:eastAsia="仿宋" w:cs="仿宋"/>
                <w:highlight w:val="none"/>
              </w:rPr>
              <w:t>公开07表</w:t>
            </w:r>
          </w:p>
        </w:tc>
      </w:tr>
      <w:tr>
        <w:tblPrEx>
          <w:tblLayout w:type="fixed"/>
          <w:tblCellMar>
            <w:top w:w="55" w:type="dxa"/>
            <w:left w:w="55" w:type="dxa"/>
            <w:bottom w:w="55" w:type="dxa"/>
            <w:right w:w="55" w:type="dxa"/>
          </w:tblCellMar>
        </w:tblPrEx>
        <w:trPr>
          <w:trHeight w:val="303" w:hRule="atLeast"/>
        </w:trPr>
        <w:tc>
          <w:tcPr>
            <w:tcW w:w="7435" w:type="dxa"/>
            <w:gridSpan w:val="3"/>
          </w:tcPr>
          <w:p>
            <w:pPr>
              <w:pStyle w:val="22"/>
              <w:rPr>
                <w:rFonts w:hint="eastAsia" w:ascii="仿宋" w:hAnsi="仿宋" w:eastAsia="仿宋" w:cs="仿宋"/>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3011" w:type="dxa"/>
            <w:gridSpan w:val="2"/>
          </w:tcPr>
          <w:p>
            <w:pPr>
              <w:pStyle w:val="22"/>
              <w:jc w:val="right"/>
              <w:rPr>
                <w:rFonts w:hint="eastAsia" w:ascii="仿宋" w:hAnsi="仿宋" w:eastAsia="仿宋" w:cs="仿宋"/>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w:t>
            </w:r>
            <w:r>
              <w:rPr>
                <w:rFonts w:hint="eastAsia" w:ascii="仿宋" w:hAnsi="仿宋" w:eastAsia="仿宋" w:cs="仿宋"/>
                <w:highlight w:val="none"/>
              </w:rPr>
              <w:tab/>
            </w:r>
            <w:r>
              <w:rPr>
                <w:rFonts w:hint="eastAsia" w:ascii="仿宋" w:hAnsi="仿宋" w:eastAsia="仿宋" w:cs="仿宋"/>
                <w:highlight w:val="none"/>
              </w:rPr>
              <w:t>目</w:t>
            </w:r>
          </w:p>
        </w:tc>
        <w:tc>
          <w:tcPr>
            <w:tcW w:w="196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项目支出</w:t>
            </w:r>
          </w:p>
        </w:tc>
      </w:tr>
      <w:tr>
        <w:tblPrEx>
          <w:tblLayout w:type="fixed"/>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功能分类科目编码</w:t>
            </w:r>
          </w:p>
        </w:tc>
        <w:tc>
          <w:tcPr>
            <w:tcW w:w="4332" w:type="dxa"/>
            <w:tcBorders>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科目名称</w:t>
            </w:r>
          </w:p>
        </w:tc>
        <w:tc>
          <w:tcPr>
            <w:tcW w:w="1969" w:type="dxa"/>
            <w:vMerge w:val="continue"/>
            <w:tcBorders>
              <w:left w:val="single" w:color="000000" w:sz="6" w:space="0"/>
              <w:bottom w:val="single" w:color="000000" w:sz="6" w:space="0"/>
            </w:tcBorders>
          </w:tcPr>
          <w:p>
            <w:pPr>
              <w:rPr>
                <w:rFonts w:hint="eastAsia" w:ascii="仿宋" w:hAnsi="仿宋" w:eastAsia="仿宋" w:cs="仿宋"/>
                <w:sz w:val="2"/>
                <w:szCs w:val="2"/>
                <w:highlight w:val="none"/>
              </w:rPr>
            </w:pPr>
          </w:p>
        </w:tc>
        <w:tc>
          <w:tcPr>
            <w:tcW w:w="1499" w:type="dxa"/>
            <w:vMerge w:val="continue"/>
            <w:tcBorders>
              <w:left w:val="single" w:color="000000" w:sz="6" w:space="0"/>
              <w:bottom w:val="single" w:color="000000" w:sz="6" w:space="0"/>
            </w:tcBorders>
          </w:tcPr>
          <w:p>
            <w:pPr>
              <w:rPr>
                <w:rFonts w:hint="eastAsia" w:ascii="仿宋" w:hAnsi="仿宋" w:eastAsia="仿宋" w:cs="仿宋"/>
                <w:sz w:val="2"/>
                <w:szCs w:val="2"/>
                <w:highlight w:val="none"/>
              </w:rPr>
            </w:pPr>
          </w:p>
        </w:tc>
        <w:tc>
          <w:tcPr>
            <w:tcW w:w="1512" w:type="dxa"/>
            <w:vMerge w:val="continue"/>
            <w:tcBorders>
              <w:left w:val="single" w:color="000000" w:sz="6" w:space="0"/>
              <w:bottom w:val="single" w:color="000000" w:sz="6" w:space="0"/>
              <w:right w:val="single" w:color="000000" w:sz="6" w:space="0"/>
            </w:tcBorders>
          </w:tcPr>
          <w:p>
            <w:pPr>
              <w:rPr>
                <w:rFonts w:hint="eastAsia" w:ascii="仿宋" w:hAnsi="仿宋" w:eastAsia="仿宋" w:cs="仿宋"/>
                <w:sz w:val="2"/>
                <w:szCs w:val="2"/>
                <w:highlight w:val="none"/>
              </w:rPr>
            </w:pPr>
          </w:p>
        </w:tc>
      </w:tr>
      <w:tr>
        <w:tblPrEx>
          <w:tblLayout w:type="fixed"/>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栏次</w:t>
            </w:r>
          </w:p>
        </w:tc>
        <w:tc>
          <w:tcPr>
            <w:tcW w:w="196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1</w:t>
            </w:r>
          </w:p>
        </w:tc>
        <w:tc>
          <w:tcPr>
            <w:tcW w:w="149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2</w:t>
            </w:r>
          </w:p>
        </w:tc>
        <w:tc>
          <w:tcPr>
            <w:tcW w:w="1512"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w:t>
            </w:r>
          </w:p>
        </w:tc>
      </w:tr>
      <w:tr>
        <w:tblPrEx>
          <w:tblLayout w:type="fixed"/>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sz w:val="20"/>
                <w:highlight w:val="none"/>
              </w:rPr>
            </w:pPr>
            <w:r>
              <w:rPr>
                <w:rFonts w:hint="eastAsia" w:ascii="仿宋" w:hAnsi="仿宋" w:eastAsia="仿宋" w:cs="仿宋"/>
                <w:highlight w:val="none"/>
              </w:rPr>
              <w:t>合计</w:t>
            </w:r>
          </w:p>
        </w:tc>
        <w:tc>
          <w:tcPr>
            <w:tcW w:w="196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15,488.00</w:t>
            </w:r>
          </w:p>
        </w:tc>
        <w:tc>
          <w:tcPr>
            <w:tcW w:w="149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12,273.52</w:t>
            </w:r>
          </w:p>
        </w:tc>
        <w:tc>
          <w:tcPr>
            <w:tcW w:w="1512" w:type="dxa"/>
            <w:tcBorders>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3,214.48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2010301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3,596.71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1,473.82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448.91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1,024.91</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20402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公安</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1,473.82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448.91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1,024.91</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2040299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其他公安支出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1,473.82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448.91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1,024.91</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普通教育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217.55</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学前教育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182.55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182.55</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2050202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小学教育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35.00</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207</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20701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文化和旅游</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2070109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群众文化</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199.36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3,370.04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3,370.04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民政管理事务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367.66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367.66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基层政权建设和社区治理</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14.57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14.57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2080299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其他民政管理事务支出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353.09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353.09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592.20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592.20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592.20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592.20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抚恤</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539.57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539.57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死亡抚恤</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24.60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24.60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伤残抚恤</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70.75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70.75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在乡复员、退伍军人生活补助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27.00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27.00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2080899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其他优抚支出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417.22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417.22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退役安置</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10.67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10.67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2080902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军队移交政府的离退休人员安置</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10.67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10.67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特困人员救助供养</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322.69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322.69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农村特困人员救助供养支出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322.69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322.69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其他生活救助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1,053.75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1,053.75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2082502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其他农村生活救助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1,053.75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1,053.75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483.50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483.50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483.50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483.50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623.74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322.30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301.44</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335.58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34.14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301.44</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335.58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34.14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301.44</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21007</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计划生育事务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288.15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288.15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2100799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其他计划生育事务支出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288.15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288.15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2,693.03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2,693.03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城乡社区管理事务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1,957.71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1,957.71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2120199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其他城乡社区管理事务支出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1,957.71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1,957.71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城乡社区环境卫生</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735.32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735.32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2120501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城乡社区环境卫生</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735.32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735.32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2,815.18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1,288.11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1,527.07</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农业农村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783.44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532.44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251.00</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2130122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农业生产发展</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251.00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251.00</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2130199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其他农业农村支出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532.44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532.44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49.17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49.17</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2130399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其他水利支出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49.17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49.17</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21307</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农村综合改革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1,073.90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1,073.90</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2130706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对村集体经济组织的补助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1,073.90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1,073.90</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目标价格补贴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153.00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153.00</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2130999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其他目标价格补贴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153.00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153.00</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755.67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755.67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2139999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755.67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755.67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资源勘探工业信息等支出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498.58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355.07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143.51</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21508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支持中小企业发展和管理支出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498.58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355.07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143.51</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2150899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其他支持中小企业发展和管理支出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498.58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355.07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143.51</w:t>
            </w:r>
          </w:p>
        </w:tc>
      </w:tr>
    </w:tbl>
    <w:p>
      <w:pPr>
        <w:tabs>
          <w:tab w:val="left" w:pos="0"/>
        </w:tabs>
        <w:spacing w:before="25"/>
        <w:jc w:val="both"/>
        <w:rPr>
          <w:rFonts w:hint="eastAsia" w:ascii="仿宋" w:hAnsi="仿宋" w:eastAsia="仿宋" w:cs="仿宋"/>
          <w:highlight w:val="none"/>
        </w:rPr>
      </w:pPr>
      <w:r>
        <w:rPr>
          <w:rFonts w:hint="eastAsia" w:ascii="仿宋" w:hAnsi="仿宋" w:eastAsia="仿宋" w:cs="仿宋"/>
          <w:highlight w:val="none"/>
        </w:rPr>
        <w:t>注：本表反映本年度一般公共预算财政拨款支出情况。本表金额单位转换时可能存在尾数误差。</w:t>
      </w:r>
    </w:p>
    <w:p>
      <w:pPr>
        <w:spacing w:before="25"/>
        <w:jc w:val="both"/>
        <w:rPr>
          <w:rFonts w:hint="eastAsia" w:ascii="仿宋" w:hAnsi="仿宋" w:eastAsia="仿宋" w:cs="仿宋"/>
          <w:highlight w:val="none"/>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3"/>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Layout w:type="fixed"/>
        </w:tblPrEx>
        <w:trPr>
          <w:trHeight w:val="319" w:hRule="atLeast"/>
        </w:trPr>
        <w:tc>
          <w:tcPr>
            <w:tcW w:w="10473" w:type="dxa"/>
            <w:gridSpan w:val="5"/>
          </w:tcPr>
          <w:p>
            <w:pPr>
              <w:pStyle w:val="22"/>
              <w:jc w:val="center"/>
              <w:rPr>
                <w:rFonts w:hint="eastAsia" w:ascii="仿宋" w:hAnsi="仿宋" w:eastAsia="仿宋" w:cs="仿宋"/>
                <w:b/>
                <w:bCs/>
                <w:sz w:val="44"/>
                <w:szCs w:val="44"/>
                <w:highlight w:val="none"/>
              </w:rPr>
            </w:pPr>
            <w:r>
              <w:rPr>
                <w:rFonts w:hint="eastAsia"/>
                <w:b/>
                <w:bCs/>
                <w:color w:val="000000"/>
                <w:sz w:val="36"/>
                <w:szCs w:val="36"/>
                <w:highlight w:val="none"/>
                <w:lang w:eastAsia="ar-SA"/>
              </w:rPr>
              <w:t>一般公共预算基本支出决算表（经济科目）</w:t>
            </w:r>
          </w:p>
        </w:tc>
      </w:tr>
      <w:tr>
        <w:tblPrEx>
          <w:tblLayout w:type="fixed"/>
          <w:tblCellMar>
            <w:top w:w="55" w:type="dxa"/>
            <w:left w:w="55" w:type="dxa"/>
            <w:bottom w:w="55" w:type="dxa"/>
            <w:right w:w="55" w:type="dxa"/>
          </w:tblCellMar>
        </w:tblPrEx>
        <w:trPr>
          <w:trHeight w:val="199" w:hRule="atLeast"/>
        </w:trPr>
        <w:tc>
          <w:tcPr>
            <w:tcW w:w="8595" w:type="dxa"/>
            <w:gridSpan w:val="4"/>
            <w:vAlign w:val="center"/>
          </w:tcPr>
          <w:p>
            <w:pPr>
              <w:pStyle w:val="22"/>
              <w:jc w:val="right"/>
              <w:rPr>
                <w:rFonts w:hint="eastAsia" w:ascii="仿宋" w:hAnsi="仿宋" w:eastAsia="仿宋" w:cs="仿宋"/>
                <w:color w:val="000000"/>
                <w:highlight w:val="none"/>
              </w:rPr>
            </w:pPr>
          </w:p>
        </w:tc>
        <w:tc>
          <w:tcPr>
            <w:tcW w:w="1878" w:type="dxa"/>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公开08表</w:t>
            </w:r>
          </w:p>
        </w:tc>
      </w:tr>
      <w:tr>
        <w:tblPrEx>
          <w:tblLayout w:type="fixed"/>
          <w:tblCellMar>
            <w:top w:w="55" w:type="dxa"/>
            <w:left w:w="55" w:type="dxa"/>
            <w:bottom w:w="55" w:type="dxa"/>
            <w:right w:w="55" w:type="dxa"/>
          </w:tblCellMar>
        </w:tblPrEx>
        <w:trPr>
          <w:trHeight w:val="320" w:hRule="atLeast"/>
        </w:trPr>
        <w:tc>
          <w:tcPr>
            <w:tcW w:w="8595" w:type="dxa"/>
            <w:gridSpan w:val="4"/>
            <w:vAlign w:val="center"/>
          </w:tcPr>
          <w:p>
            <w:pPr>
              <w:pStyle w:val="22"/>
              <w:rPr>
                <w:rFonts w:hint="eastAsia" w:ascii="仿宋" w:hAnsi="仿宋" w:eastAsia="仿宋" w:cs="仿宋"/>
                <w:sz w:val="20"/>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1878" w:type="dxa"/>
            <w:vAlign w:val="center"/>
          </w:tcPr>
          <w:p>
            <w:pPr>
              <w:pStyle w:val="22"/>
              <w:jc w:val="right"/>
              <w:rPr>
                <w:rFonts w:hint="eastAsia" w:ascii="仿宋" w:hAnsi="仿宋" w:eastAsia="仿宋" w:cs="仿宋"/>
                <w:sz w:val="20"/>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w:t>
            </w:r>
            <w:r>
              <w:rPr>
                <w:rFonts w:hint="eastAsia" w:ascii="仿宋" w:hAnsi="仿宋" w:eastAsia="仿宋" w:cs="仿宋"/>
                <w:highlight w:val="none"/>
              </w:rPr>
              <w:tab/>
            </w:r>
            <w:r>
              <w:rPr>
                <w:rFonts w:hint="eastAsia" w:ascii="仿宋" w:hAnsi="仿宋" w:eastAsia="仿宋" w:cs="仿宋"/>
                <w:highlight w:val="none"/>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highlight w:val="none"/>
              </w:rPr>
            </w:pPr>
            <w:r>
              <w:rPr>
                <w:rFonts w:hint="eastAsia" w:ascii="仿宋" w:hAnsi="仿宋" w:eastAsia="仿宋" w:cs="仿宋"/>
                <w:highlight w:val="none"/>
              </w:rPr>
              <w:t>一般公共预算财政拨款基本支出</w:t>
            </w:r>
          </w:p>
        </w:tc>
      </w:tr>
      <w:tr>
        <w:tblPrEx>
          <w:tblLayout w:type="fixed"/>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经济分类科目编码</w:t>
            </w:r>
          </w:p>
        </w:tc>
        <w:tc>
          <w:tcPr>
            <w:tcW w:w="3566"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科目名称</w:t>
            </w:r>
          </w:p>
        </w:tc>
        <w:tc>
          <w:tcPr>
            <w:tcW w:w="2200"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合计</w:t>
            </w:r>
          </w:p>
        </w:tc>
        <w:tc>
          <w:tcPr>
            <w:tcW w:w="1708"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人员经费</w:t>
            </w:r>
          </w:p>
        </w:tc>
        <w:tc>
          <w:tcPr>
            <w:tcW w:w="187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公用经费</w:t>
            </w:r>
          </w:p>
        </w:tc>
      </w:tr>
      <w:tr>
        <w:tblPrEx>
          <w:tblLayout w:type="fixed"/>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合计</w:t>
            </w:r>
          </w:p>
        </w:tc>
        <w:tc>
          <w:tcPr>
            <w:tcW w:w="22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12,273.52</w:t>
            </w:r>
          </w:p>
        </w:tc>
        <w:tc>
          <w:tcPr>
            <w:tcW w:w="170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11,713.99</w:t>
            </w:r>
          </w:p>
        </w:tc>
        <w:tc>
          <w:tcPr>
            <w:tcW w:w="187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highlight w:val="none"/>
              </w:rPr>
            </w:pPr>
            <w:r>
              <w:rPr>
                <w:rFonts w:hint="eastAsia" w:ascii="仿宋" w:hAnsi="仿宋" w:eastAsia="仿宋" w:cs="仿宋"/>
                <w:sz w:val="22"/>
                <w:szCs w:val="22"/>
                <w:highlight w:val="none"/>
              </w:rPr>
              <w:t>559.53</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7,678.18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7,678.18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593.30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593.30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1,020.60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1,020.60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2,712.46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2,712.46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208.53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208.53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104.26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104.26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109.55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109.55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25.79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25.79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337.50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459.76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459.76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26.16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26.16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2,080.28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2,080.28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559.53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559.53</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24.91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24.91</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5.11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5.11</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91.84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91.84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117.48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117.48</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0.88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0.88</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3.56</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1.23</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0.34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0.34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164.53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164.53</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4.72</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144.92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144.92</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4,035.81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4,035.81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603.42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603.42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3,339.63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3,339.63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32.42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32.42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60.34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60.34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bl>
    <w:p>
      <w:pPr>
        <w:spacing w:before="25"/>
        <w:ind w:right="-92" w:rightChars="-42"/>
        <w:jc w:val="both"/>
        <w:rPr>
          <w:rFonts w:hint="eastAsia" w:ascii="仿宋" w:hAnsi="仿宋" w:eastAsia="仿宋" w:cs="仿宋"/>
          <w:highlight w:val="none"/>
        </w:rPr>
      </w:pPr>
      <w:r>
        <w:rPr>
          <w:rFonts w:hint="eastAsia" w:ascii="仿宋" w:hAnsi="仿宋" w:eastAsia="仿宋" w:cs="仿宋"/>
          <w:highlight w:val="none"/>
        </w:rPr>
        <w:t>注：本表反映本年度一般公共预算财政拨款基本支出情况。本表金额单位转换时可能存在尾数误差。</w:t>
      </w:r>
    </w:p>
    <w:p>
      <w:pPr>
        <w:spacing w:before="25"/>
        <w:jc w:val="both"/>
        <w:rPr>
          <w:rFonts w:hint="eastAsia" w:ascii="仿宋" w:hAnsi="仿宋" w:eastAsia="仿宋" w:cs="仿宋"/>
          <w:highlight w:val="none"/>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3"/>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Layout w:type="fixed"/>
        </w:tblPrEx>
        <w:trPr>
          <w:trHeight w:val="321" w:hRule="atLeast"/>
        </w:trPr>
        <w:tc>
          <w:tcPr>
            <w:tcW w:w="16486" w:type="dxa"/>
            <w:gridSpan w:val="16"/>
          </w:tcPr>
          <w:p>
            <w:pPr>
              <w:pStyle w:val="22"/>
              <w:jc w:val="center"/>
              <w:rPr>
                <w:rFonts w:hint="eastAsia" w:ascii="仿宋" w:hAnsi="仿宋" w:eastAsia="仿宋" w:cs="仿宋"/>
                <w:b/>
                <w:bCs/>
                <w:sz w:val="44"/>
                <w:szCs w:val="44"/>
                <w:highlight w:val="none"/>
              </w:rPr>
            </w:pPr>
            <w:r>
              <w:rPr>
                <w:rFonts w:hint="eastAsia"/>
                <w:b/>
                <w:bCs/>
                <w:color w:val="000000"/>
                <w:sz w:val="36"/>
                <w:szCs w:val="36"/>
                <w:highlight w:val="none"/>
                <w:lang w:val="en-US" w:eastAsia="ar-SA"/>
              </w:rPr>
              <w:t>财政拨款</w:t>
            </w:r>
            <w:r>
              <w:rPr>
                <w:rFonts w:hint="eastAsia"/>
                <w:b/>
                <w:bCs/>
                <w:color w:val="000000"/>
                <w:sz w:val="36"/>
                <w:szCs w:val="36"/>
                <w:highlight w:val="none"/>
                <w:lang w:eastAsia="ar-SA"/>
              </w:rPr>
              <w:t>“三公”经费、会议费</w:t>
            </w:r>
            <w:r>
              <w:rPr>
                <w:rFonts w:hint="eastAsia"/>
                <w:b/>
                <w:bCs/>
                <w:color w:val="000000"/>
                <w:sz w:val="36"/>
                <w:szCs w:val="36"/>
                <w:highlight w:val="none"/>
                <w:lang w:val="en-US" w:eastAsia="zh-CN"/>
              </w:rPr>
              <w:t>和</w:t>
            </w:r>
            <w:r>
              <w:rPr>
                <w:rFonts w:hint="eastAsia"/>
                <w:b/>
                <w:bCs/>
                <w:color w:val="000000"/>
                <w:sz w:val="36"/>
                <w:szCs w:val="36"/>
                <w:highlight w:val="none"/>
                <w:lang w:eastAsia="ar-SA"/>
              </w:rPr>
              <w:t>培训费支出决算表</w:t>
            </w:r>
          </w:p>
        </w:tc>
      </w:tr>
      <w:tr>
        <w:tblPrEx>
          <w:tblLayout w:type="fixed"/>
          <w:tblCellMar>
            <w:top w:w="55" w:type="dxa"/>
            <w:left w:w="55" w:type="dxa"/>
            <w:bottom w:w="55" w:type="dxa"/>
            <w:right w:w="55" w:type="dxa"/>
          </w:tblCellMar>
        </w:tblPrEx>
        <w:trPr>
          <w:trHeight w:val="207" w:hRule="atLeast"/>
        </w:trPr>
        <w:tc>
          <w:tcPr>
            <w:tcW w:w="16486" w:type="dxa"/>
            <w:gridSpan w:val="16"/>
          </w:tcPr>
          <w:p>
            <w:pPr>
              <w:pStyle w:val="22"/>
              <w:jc w:val="right"/>
              <w:rPr>
                <w:rFonts w:hint="eastAsia" w:ascii="仿宋" w:hAnsi="仿宋" w:eastAsia="仿宋" w:cs="仿宋"/>
                <w:sz w:val="20"/>
                <w:highlight w:val="none"/>
              </w:rPr>
            </w:pPr>
            <w:r>
              <w:rPr>
                <w:rFonts w:hint="eastAsia" w:ascii="仿宋" w:hAnsi="仿宋" w:eastAsia="仿宋" w:cs="仿宋"/>
                <w:highlight w:val="none"/>
              </w:rPr>
              <w:t>公开09表</w:t>
            </w:r>
          </w:p>
        </w:tc>
      </w:tr>
      <w:tr>
        <w:tblPrEx>
          <w:tblLayout w:type="fixed"/>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rPr>
                <w:rFonts w:hint="eastAsia" w:ascii="仿宋" w:hAnsi="仿宋" w:eastAsia="仿宋" w:cs="仿宋"/>
                <w:sz w:val="20"/>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8274" w:type="dxa"/>
            <w:gridSpan w:val="8"/>
            <w:tcBorders>
              <w:bottom w:val="single" w:color="auto" w:sz="4" w:space="0"/>
            </w:tcBorders>
          </w:tcPr>
          <w:p>
            <w:pPr>
              <w:pStyle w:val="22"/>
              <w:jc w:val="right"/>
              <w:rPr>
                <w:rFonts w:hint="eastAsia" w:ascii="仿宋" w:hAnsi="仿宋" w:eastAsia="仿宋" w:cs="仿宋"/>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highlight w:val="none"/>
              </w:rPr>
            </w:pPr>
            <w:r>
              <w:rPr>
                <w:rFonts w:hint="eastAsia" w:ascii="仿宋" w:hAnsi="仿宋" w:eastAsia="仿宋" w:cs="仿宋"/>
                <w:highlight w:val="none"/>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highlight w:val="none"/>
                <w:lang w:val="en-US"/>
              </w:rPr>
            </w:pPr>
            <w:r>
              <w:rPr>
                <w:rFonts w:hint="eastAsia" w:ascii="仿宋" w:hAnsi="仿宋" w:eastAsia="仿宋" w:cs="仿宋"/>
                <w:highlight w:val="none"/>
                <w:lang w:val="en-US"/>
              </w:rPr>
              <w:t>决算数</w:t>
            </w:r>
          </w:p>
        </w:tc>
      </w:tr>
      <w:tr>
        <w:tblPrEx>
          <w:tblLayout w:type="fixed"/>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会议费</w:t>
            </w:r>
          </w:p>
        </w:tc>
        <w:tc>
          <w:tcPr>
            <w:tcW w:w="1010"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会议费</w:t>
            </w:r>
          </w:p>
        </w:tc>
        <w:tc>
          <w:tcPr>
            <w:tcW w:w="102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培训费</w:t>
            </w:r>
          </w:p>
        </w:tc>
      </w:tr>
      <w:tr>
        <w:tblPrEx>
          <w:tblLayout w:type="fixed"/>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“三公”经费合计</w:t>
            </w:r>
          </w:p>
        </w:tc>
        <w:tc>
          <w:tcPr>
            <w:tcW w:w="1042"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因公出国（境）费</w:t>
            </w:r>
          </w:p>
        </w:tc>
        <w:tc>
          <w:tcPr>
            <w:tcW w:w="304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公务用车购置及运行费</w:t>
            </w:r>
          </w:p>
        </w:tc>
        <w:tc>
          <w:tcPr>
            <w:tcW w:w="1026"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公务</w:t>
            </w:r>
          </w:p>
          <w:p>
            <w:pPr>
              <w:pStyle w:val="22"/>
              <w:jc w:val="center"/>
              <w:rPr>
                <w:rFonts w:hint="eastAsia" w:ascii="仿宋" w:hAnsi="仿宋" w:eastAsia="仿宋" w:cs="仿宋"/>
                <w:highlight w:val="none"/>
              </w:rPr>
            </w:pPr>
            <w:r>
              <w:rPr>
                <w:rFonts w:hint="eastAsia" w:ascii="仿宋" w:hAnsi="仿宋" w:eastAsia="仿宋" w:cs="仿宋"/>
                <w:highlight w:val="none"/>
              </w:rPr>
              <w:t>接待费</w:t>
            </w:r>
          </w:p>
        </w:tc>
        <w:tc>
          <w:tcPr>
            <w:tcW w:w="1043" w:type="dxa"/>
            <w:vMerge w:val="continue"/>
            <w:tcBorders>
              <w:left w:val="single" w:color="000000" w:sz="4" w:space="0"/>
              <w:bottom w:val="single" w:color="000000" w:sz="4" w:space="0"/>
            </w:tcBorders>
            <w:vAlign w:val="center"/>
          </w:tcPr>
          <w:p>
            <w:pPr>
              <w:jc w:val="center"/>
              <w:rPr>
                <w:rFonts w:hint="eastAsia" w:ascii="仿宋" w:hAnsi="仿宋" w:eastAsia="仿宋" w:cs="仿宋"/>
                <w:sz w:val="20"/>
                <w:highlight w:val="none"/>
              </w:rPr>
            </w:pPr>
          </w:p>
        </w:tc>
        <w:tc>
          <w:tcPr>
            <w:tcW w:w="1010" w:type="dxa"/>
            <w:vMerge w:val="continue"/>
            <w:tcBorders>
              <w:left w:val="single" w:color="000000" w:sz="4" w:space="0"/>
              <w:right w:val="single" w:color="000000" w:sz="4" w:space="0"/>
            </w:tcBorders>
            <w:vAlign w:val="center"/>
          </w:tcPr>
          <w:p>
            <w:pPr>
              <w:jc w:val="center"/>
              <w:rPr>
                <w:rFonts w:hint="eastAsia" w:ascii="仿宋" w:hAnsi="仿宋" w:eastAsia="仿宋" w:cs="仿宋"/>
                <w:sz w:val="20"/>
                <w:highlight w:val="none"/>
              </w:rPr>
            </w:pPr>
          </w:p>
        </w:tc>
        <w:tc>
          <w:tcPr>
            <w:tcW w:w="1058"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highlight w:val="none"/>
              </w:rPr>
            </w:pPr>
            <w:r>
              <w:rPr>
                <w:rFonts w:hint="eastAsia" w:ascii="仿宋" w:hAnsi="仿宋" w:eastAsia="仿宋" w:cs="仿宋"/>
                <w:highlight w:val="none"/>
              </w:rPr>
              <w:t>“三公”经费合计</w:t>
            </w:r>
          </w:p>
        </w:tc>
        <w:tc>
          <w:tcPr>
            <w:tcW w:w="1010"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highlight w:val="none"/>
              </w:rPr>
            </w:pPr>
            <w:r>
              <w:rPr>
                <w:rFonts w:hint="eastAsia" w:ascii="仿宋" w:hAnsi="仿宋" w:eastAsia="仿宋" w:cs="仿宋"/>
                <w:highlight w:val="none"/>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highlight w:val="none"/>
              </w:rPr>
            </w:pPr>
            <w:r>
              <w:rPr>
                <w:rFonts w:hint="eastAsia" w:ascii="仿宋" w:hAnsi="仿宋" w:eastAsia="仿宋" w:cs="仿宋"/>
                <w:highlight w:val="none"/>
              </w:rPr>
              <w:t>公务用车购置及运行费</w:t>
            </w:r>
          </w:p>
        </w:tc>
        <w:tc>
          <w:tcPr>
            <w:tcW w:w="1043"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公务</w:t>
            </w:r>
          </w:p>
          <w:p>
            <w:pPr>
              <w:pStyle w:val="22"/>
              <w:jc w:val="center"/>
              <w:rPr>
                <w:rFonts w:hint="eastAsia" w:ascii="仿宋" w:hAnsi="仿宋" w:eastAsia="仿宋" w:cs="仿宋"/>
                <w:sz w:val="20"/>
                <w:highlight w:val="none"/>
              </w:rPr>
            </w:pPr>
            <w:r>
              <w:rPr>
                <w:rFonts w:hint="eastAsia" w:ascii="仿宋" w:hAnsi="仿宋" w:eastAsia="仿宋" w:cs="仿宋"/>
                <w:highlight w:val="none"/>
              </w:rPr>
              <w:t>接待费</w:t>
            </w:r>
          </w:p>
        </w:tc>
        <w:tc>
          <w:tcPr>
            <w:tcW w:w="105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highlight w:val="none"/>
              </w:rPr>
            </w:pPr>
          </w:p>
        </w:tc>
        <w:tc>
          <w:tcPr>
            <w:tcW w:w="102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highlight w:val="none"/>
              </w:rPr>
            </w:pPr>
          </w:p>
        </w:tc>
      </w:tr>
      <w:tr>
        <w:tblPrEx>
          <w:tblLayout w:type="fixed"/>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hint="eastAsia" w:ascii="仿宋" w:hAnsi="仿宋" w:eastAsia="仿宋" w:cs="仿宋"/>
                <w:sz w:val="2"/>
                <w:szCs w:val="2"/>
                <w:highlight w:val="none"/>
              </w:rPr>
            </w:pPr>
          </w:p>
        </w:tc>
        <w:tc>
          <w:tcPr>
            <w:tcW w:w="1042" w:type="dxa"/>
            <w:vMerge w:val="continue"/>
            <w:tcBorders>
              <w:left w:val="single" w:color="000000" w:sz="4" w:space="0"/>
              <w:bottom w:val="single" w:color="000000" w:sz="4" w:space="0"/>
            </w:tcBorders>
          </w:tcPr>
          <w:p>
            <w:pPr>
              <w:rPr>
                <w:rFonts w:hint="eastAsia" w:ascii="仿宋" w:hAnsi="仿宋" w:eastAsia="仿宋" w:cs="仿宋"/>
                <w:sz w:val="2"/>
                <w:szCs w:val="2"/>
                <w:highlight w:val="none"/>
              </w:rPr>
            </w:pPr>
          </w:p>
        </w:tc>
        <w:tc>
          <w:tcPr>
            <w:tcW w:w="1020"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ascii="仿宋" w:hAnsi="仿宋" w:eastAsia="仿宋" w:cs="仿宋"/>
                <w:highlight w:val="none"/>
                <w:u w:color="auto"/>
              </w:rPr>
              <w:t>小计</w:t>
            </w:r>
          </w:p>
        </w:tc>
        <w:tc>
          <w:tcPr>
            <w:tcW w:w="1029"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公务用车购置费</w:t>
            </w:r>
          </w:p>
        </w:tc>
        <w:tc>
          <w:tcPr>
            <w:tcW w:w="998"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公务用车运行费</w:t>
            </w:r>
          </w:p>
        </w:tc>
        <w:tc>
          <w:tcPr>
            <w:tcW w:w="1026" w:type="dxa"/>
            <w:vMerge w:val="continue"/>
            <w:tcBorders>
              <w:left w:val="single" w:color="000000" w:sz="4" w:space="0"/>
              <w:bottom w:val="single" w:color="000000" w:sz="4" w:space="0"/>
            </w:tcBorders>
          </w:tcPr>
          <w:p>
            <w:pPr>
              <w:rPr>
                <w:rFonts w:hint="eastAsia" w:ascii="仿宋" w:hAnsi="仿宋" w:eastAsia="仿宋" w:cs="仿宋"/>
                <w:sz w:val="2"/>
                <w:szCs w:val="2"/>
                <w:highlight w:val="none"/>
              </w:rPr>
            </w:pPr>
          </w:p>
        </w:tc>
        <w:tc>
          <w:tcPr>
            <w:tcW w:w="1043" w:type="dxa"/>
            <w:vMerge w:val="continue"/>
            <w:tcBorders>
              <w:left w:val="single" w:color="000000" w:sz="4" w:space="0"/>
              <w:bottom w:val="single" w:color="000000" w:sz="4" w:space="0"/>
            </w:tcBorders>
          </w:tcPr>
          <w:p>
            <w:pPr>
              <w:rPr>
                <w:rFonts w:hint="eastAsia" w:ascii="仿宋" w:hAnsi="仿宋" w:eastAsia="仿宋" w:cs="仿宋"/>
                <w:sz w:val="2"/>
                <w:szCs w:val="2"/>
                <w:highlight w:val="none"/>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highlight w:val="none"/>
              </w:rPr>
            </w:pPr>
          </w:p>
        </w:tc>
        <w:tc>
          <w:tcPr>
            <w:tcW w:w="10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highlight w:val="none"/>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highlight w:val="none"/>
              </w:rPr>
            </w:pPr>
          </w:p>
        </w:tc>
        <w:tc>
          <w:tcPr>
            <w:tcW w:w="94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highlight w:val="none"/>
              </w:rPr>
            </w:pPr>
            <w:r>
              <w:rPr>
                <w:rFonts w:ascii="仿宋" w:hAnsi="仿宋" w:eastAsia="仿宋" w:cs="仿宋"/>
                <w:highlight w:val="none"/>
                <w:u w:color="auto"/>
              </w:rPr>
              <w:t>小计</w:t>
            </w:r>
          </w:p>
        </w:tc>
        <w:tc>
          <w:tcPr>
            <w:tcW w:w="1089"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highlight w:val="none"/>
              </w:rPr>
            </w:pPr>
            <w:r>
              <w:rPr>
                <w:rFonts w:hint="eastAsia" w:ascii="仿宋" w:hAnsi="仿宋" w:eastAsia="仿宋" w:cs="仿宋"/>
                <w:highlight w:val="none"/>
              </w:rPr>
              <w:t>公务用车购置费</w:t>
            </w:r>
          </w:p>
        </w:tc>
        <w:tc>
          <w:tcPr>
            <w:tcW w:w="1042"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highlight w:val="none"/>
              </w:rPr>
            </w:pPr>
            <w:r>
              <w:rPr>
                <w:rFonts w:hint="eastAsia" w:ascii="仿宋" w:hAnsi="仿宋" w:eastAsia="仿宋" w:cs="仿宋"/>
                <w:highlight w:val="none"/>
              </w:rPr>
              <w:t>公务用车运行费</w:t>
            </w:r>
          </w:p>
        </w:tc>
        <w:tc>
          <w:tcPr>
            <w:tcW w:w="1043"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highlight w:val="none"/>
              </w:rPr>
            </w:pPr>
          </w:p>
        </w:tc>
        <w:tc>
          <w:tcPr>
            <w:tcW w:w="105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highlight w:val="none"/>
              </w:rPr>
            </w:pPr>
          </w:p>
        </w:tc>
        <w:tc>
          <w:tcPr>
            <w:tcW w:w="102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highlight w:val="none"/>
              </w:rPr>
            </w:pPr>
          </w:p>
        </w:tc>
      </w:tr>
      <w:tr>
        <w:tblPrEx>
          <w:tblLayout w:type="fixed"/>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5.05</w:t>
            </w:r>
          </w:p>
        </w:tc>
        <w:tc>
          <w:tcPr>
            <w:tcW w:w="1042"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0.00</w:t>
            </w:r>
          </w:p>
        </w:tc>
        <w:tc>
          <w:tcPr>
            <w:tcW w:w="1020"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4.72</w:t>
            </w:r>
          </w:p>
        </w:tc>
        <w:tc>
          <w:tcPr>
            <w:tcW w:w="1029"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0.00</w:t>
            </w:r>
          </w:p>
        </w:tc>
        <w:tc>
          <w:tcPr>
            <w:tcW w:w="998"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4.72</w:t>
            </w:r>
          </w:p>
        </w:tc>
        <w:tc>
          <w:tcPr>
            <w:tcW w:w="1026"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0.34</w:t>
            </w:r>
          </w:p>
        </w:tc>
        <w:tc>
          <w:tcPr>
            <w:tcW w:w="1043"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3.56</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1.23</w:t>
            </w:r>
          </w:p>
        </w:tc>
        <w:tc>
          <w:tcPr>
            <w:tcW w:w="10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5.05</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0.00</w:t>
            </w:r>
          </w:p>
        </w:tc>
        <w:tc>
          <w:tcPr>
            <w:tcW w:w="94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4.72</w:t>
            </w:r>
          </w:p>
        </w:tc>
        <w:tc>
          <w:tcPr>
            <w:tcW w:w="1089"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0.00</w:t>
            </w:r>
          </w:p>
        </w:tc>
        <w:tc>
          <w:tcPr>
            <w:tcW w:w="1042"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4.72</w:t>
            </w:r>
          </w:p>
        </w:tc>
        <w:tc>
          <w:tcPr>
            <w:tcW w:w="1043"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0.34</w:t>
            </w:r>
          </w:p>
        </w:tc>
        <w:tc>
          <w:tcPr>
            <w:tcW w:w="105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3.56</w:t>
            </w:r>
          </w:p>
        </w:tc>
        <w:tc>
          <w:tcPr>
            <w:tcW w:w="102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1.23</w:t>
            </w:r>
          </w:p>
        </w:tc>
      </w:tr>
    </w:tbl>
    <w:p>
      <w:pPr>
        <w:spacing w:before="30" w:after="33"/>
        <w:ind w:left="220" w:leftChars="100"/>
        <w:rPr>
          <w:rFonts w:hint="eastAsia" w:ascii="仿宋" w:hAnsi="仿宋" w:eastAsia="仿宋" w:cs="仿宋"/>
          <w:highlight w:val="none"/>
        </w:rPr>
      </w:pPr>
      <w:r>
        <w:rPr>
          <w:rFonts w:hint="eastAsia" w:ascii="仿宋" w:hAnsi="仿宋" w:eastAsia="仿宋" w:cs="仿宋"/>
          <w:highlight w:val="none"/>
        </w:rPr>
        <w:t>相关统计数：</w:t>
      </w:r>
    </w:p>
    <w:tbl>
      <w:tblPr>
        <w:tblStyle w:val="13"/>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Layout w:type="fixed"/>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highlight w:val="none"/>
              </w:rPr>
            </w:pPr>
            <w:r>
              <w:rPr>
                <w:rFonts w:ascii="仿宋" w:hAnsi="仿宋" w:eastAsia="仿宋" w:cs="仿宋"/>
                <w:highlight w:val="none"/>
                <w:u w:color="auto"/>
              </w:rPr>
              <w:t>项目</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统计数</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统计数</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因公出国（境）团组数(个)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公务用车购置数(辆)</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3</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国内公务接待批次(个)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23</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186</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国（境）外公务接待批次(个)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召开会议次数(个)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98</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2,013</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组织培训次数(个)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11</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106</w:t>
            </w:r>
          </w:p>
        </w:tc>
      </w:tr>
    </w:tbl>
    <w:p>
      <w:pPr>
        <w:ind w:right="-2"/>
        <w:jc w:val="both"/>
        <w:rPr>
          <w:rFonts w:hint="eastAsia" w:ascii="仿宋" w:hAnsi="仿宋" w:eastAsia="仿宋" w:cs="仿宋"/>
          <w:highlight w:val="none"/>
        </w:rPr>
      </w:pPr>
      <w:r>
        <w:rPr>
          <w:rFonts w:hint="eastAsia" w:ascii="仿宋" w:hAnsi="仿宋" w:eastAsia="仿宋" w:cs="仿宋"/>
          <w:highlight w:val="none"/>
        </w:rPr>
        <w:t>注：</w:t>
      </w:r>
      <w:r>
        <w:rPr>
          <w:rFonts w:hint="eastAsia" w:ascii="仿宋" w:hAnsi="仿宋" w:eastAsia="仿宋" w:cs="仿宋"/>
          <w:highlight w:val="none"/>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highlight w:val="none"/>
        </w:rPr>
        <w:t>。</w:t>
      </w:r>
    </w:p>
    <w:p>
      <w:pPr>
        <w:ind w:left="227" w:firstLine="220" w:firstLineChars="100"/>
        <w:jc w:val="both"/>
        <w:rPr>
          <w:rFonts w:hint="eastAsia" w:ascii="仿宋" w:hAnsi="仿宋" w:eastAsia="仿宋" w:cs="仿宋"/>
          <w:highlight w:val="none"/>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3"/>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Layout w:type="fixed"/>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highlight w:val="none"/>
              </w:rPr>
            </w:pPr>
            <w:r>
              <w:rPr>
                <w:rFonts w:hint="eastAsia"/>
                <w:b/>
                <w:bCs/>
                <w:color w:val="000000"/>
                <w:sz w:val="36"/>
                <w:szCs w:val="36"/>
                <w:highlight w:val="none"/>
                <w:lang w:eastAsia="ar-SA"/>
              </w:rPr>
              <w:t>政府性基金预算支出决算表</w:t>
            </w:r>
          </w:p>
        </w:tc>
      </w:tr>
      <w:tr>
        <w:tblPrEx>
          <w:tblLayout w:type="fixed"/>
          <w:tblCellMar>
            <w:top w:w="55" w:type="dxa"/>
            <w:left w:w="55" w:type="dxa"/>
            <w:bottom w:w="55" w:type="dxa"/>
            <w:right w:w="55" w:type="dxa"/>
          </w:tblCellMar>
        </w:tblPrEx>
        <w:trPr>
          <w:trHeight w:val="323" w:hRule="atLeast"/>
        </w:trPr>
        <w:tc>
          <w:tcPr>
            <w:tcW w:w="8426" w:type="dxa"/>
            <w:gridSpan w:val="2"/>
          </w:tcPr>
          <w:p>
            <w:pPr>
              <w:pStyle w:val="22"/>
              <w:rPr>
                <w:rFonts w:hint="eastAsia" w:ascii="仿宋" w:hAnsi="仿宋" w:eastAsia="仿宋" w:cs="仿宋"/>
                <w:sz w:val="20"/>
                <w:highlight w:val="none"/>
              </w:rPr>
            </w:pPr>
          </w:p>
        </w:tc>
        <w:tc>
          <w:tcPr>
            <w:tcW w:w="2684" w:type="dxa"/>
          </w:tcPr>
          <w:p>
            <w:pPr>
              <w:pStyle w:val="22"/>
              <w:rPr>
                <w:rFonts w:hint="eastAsia" w:ascii="仿宋" w:hAnsi="仿宋" w:eastAsia="仿宋" w:cs="仿宋"/>
                <w:sz w:val="27"/>
                <w:highlight w:val="none"/>
              </w:rPr>
            </w:pPr>
          </w:p>
        </w:tc>
        <w:tc>
          <w:tcPr>
            <w:tcW w:w="2432" w:type="dxa"/>
          </w:tcPr>
          <w:p>
            <w:pPr>
              <w:pStyle w:val="22"/>
              <w:rPr>
                <w:rFonts w:hint="eastAsia" w:ascii="仿宋" w:hAnsi="仿宋" w:eastAsia="仿宋" w:cs="仿宋"/>
                <w:sz w:val="20"/>
                <w:highlight w:val="none"/>
              </w:rPr>
            </w:pPr>
          </w:p>
        </w:tc>
        <w:tc>
          <w:tcPr>
            <w:tcW w:w="1858" w:type="dxa"/>
            <w:vAlign w:val="center"/>
          </w:tcPr>
          <w:p>
            <w:pPr>
              <w:pStyle w:val="22"/>
              <w:jc w:val="right"/>
              <w:rPr>
                <w:rFonts w:hint="eastAsia" w:ascii="仿宋" w:hAnsi="仿宋" w:eastAsia="仿宋" w:cs="仿宋"/>
                <w:sz w:val="27"/>
                <w:highlight w:val="none"/>
              </w:rPr>
            </w:pPr>
            <w:r>
              <w:rPr>
                <w:rFonts w:hint="eastAsia" w:ascii="仿宋" w:hAnsi="仿宋" w:eastAsia="仿宋" w:cs="仿宋"/>
                <w:highlight w:val="none"/>
              </w:rPr>
              <w:t>公开10表</w:t>
            </w:r>
          </w:p>
        </w:tc>
      </w:tr>
      <w:tr>
        <w:tblPrEx>
          <w:tblLayout w:type="fixed"/>
          <w:tblCellMar>
            <w:top w:w="55" w:type="dxa"/>
            <w:left w:w="55" w:type="dxa"/>
            <w:bottom w:w="55" w:type="dxa"/>
            <w:right w:w="55" w:type="dxa"/>
          </w:tblCellMar>
        </w:tblPrEx>
        <w:trPr>
          <w:trHeight w:val="152" w:hRule="atLeast"/>
        </w:trPr>
        <w:tc>
          <w:tcPr>
            <w:tcW w:w="13542" w:type="dxa"/>
            <w:gridSpan w:val="4"/>
            <w:vAlign w:val="center"/>
          </w:tcPr>
          <w:p>
            <w:pPr>
              <w:pStyle w:val="22"/>
              <w:rPr>
                <w:rFonts w:hint="eastAsia" w:ascii="仿宋" w:hAnsi="仿宋" w:eastAsia="仿宋" w:cs="仿宋"/>
                <w:sz w:val="20"/>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1858" w:type="dxa"/>
            <w:vAlign w:val="center"/>
          </w:tcPr>
          <w:p>
            <w:pPr>
              <w:pStyle w:val="22"/>
              <w:jc w:val="right"/>
              <w:rPr>
                <w:rFonts w:hint="eastAsia" w:ascii="仿宋" w:hAnsi="仿宋" w:eastAsia="仿宋" w:cs="仿宋"/>
                <w:sz w:val="27"/>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w:t>
            </w:r>
            <w:r>
              <w:rPr>
                <w:rFonts w:hint="eastAsia" w:ascii="仿宋" w:hAnsi="仿宋" w:eastAsia="仿宋" w:cs="仿宋"/>
                <w:highlight w:val="none"/>
              </w:rPr>
              <w:tab/>
            </w:r>
            <w:r>
              <w:rPr>
                <w:rFonts w:hint="eastAsia" w:ascii="仿宋" w:hAnsi="仿宋" w:eastAsia="仿宋" w:cs="仿宋"/>
                <w:highlight w:val="none"/>
              </w:rPr>
              <w:t>目</w:t>
            </w:r>
          </w:p>
        </w:tc>
        <w:tc>
          <w:tcPr>
            <w:tcW w:w="268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本年支出合计</w:t>
            </w:r>
          </w:p>
        </w:tc>
        <w:tc>
          <w:tcPr>
            <w:tcW w:w="2432"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项目支出</w:t>
            </w:r>
          </w:p>
        </w:tc>
      </w:tr>
      <w:tr>
        <w:tblPrEx>
          <w:tblLayout w:type="fixed"/>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功能分类</w:t>
            </w:r>
          </w:p>
          <w:p>
            <w:pPr>
              <w:pStyle w:val="22"/>
              <w:jc w:val="center"/>
              <w:rPr>
                <w:rFonts w:hint="eastAsia" w:ascii="仿宋" w:hAnsi="仿宋" w:eastAsia="仿宋" w:cs="仿宋"/>
                <w:highlight w:val="none"/>
              </w:rPr>
            </w:pPr>
            <w:r>
              <w:rPr>
                <w:rFonts w:hint="eastAsia" w:ascii="仿宋" w:hAnsi="仿宋" w:eastAsia="仿宋" w:cs="仿宋"/>
                <w:highlight w:val="none"/>
              </w:rPr>
              <w:t>科目编码</w:t>
            </w:r>
          </w:p>
        </w:tc>
        <w:tc>
          <w:tcPr>
            <w:tcW w:w="6995"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科目名称</w:t>
            </w:r>
          </w:p>
        </w:tc>
        <w:tc>
          <w:tcPr>
            <w:tcW w:w="2684"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2432"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p>
        </w:tc>
        <w:tc>
          <w:tcPr>
            <w:tcW w:w="18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栏次</w:t>
            </w:r>
          </w:p>
        </w:tc>
        <w:tc>
          <w:tcPr>
            <w:tcW w:w="2684"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lang w:val="en-US"/>
              </w:rPr>
            </w:pPr>
            <w:r>
              <w:rPr>
                <w:rFonts w:hint="eastAsia" w:ascii="仿宋" w:hAnsi="仿宋" w:eastAsia="仿宋" w:cs="仿宋"/>
                <w:highlight w:val="none"/>
                <w:lang w:val="en-US"/>
              </w:rPr>
              <w:t>1</w:t>
            </w:r>
          </w:p>
        </w:tc>
        <w:tc>
          <w:tcPr>
            <w:tcW w:w="2432"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2</w:t>
            </w:r>
          </w:p>
        </w:tc>
        <w:tc>
          <w:tcPr>
            <w:tcW w:w="185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lang w:val="en-US"/>
              </w:rPr>
            </w:pPr>
            <w:r>
              <w:rPr>
                <w:rFonts w:hint="eastAsia" w:ascii="仿宋" w:hAnsi="仿宋" w:eastAsia="仿宋" w:cs="仿宋"/>
                <w:highlight w:val="none"/>
                <w:lang w:val="en-US"/>
              </w:rPr>
              <w:t>3</w:t>
            </w:r>
          </w:p>
        </w:tc>
      </w:tr>
      <w:tr>
        <w:tblPrEx>
          <w:tblLayout w:type="fixed"/>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合计</w:t>
            </w:r>
          </w:p>
        </w:tc>
        <w:tc>
          <w:tcPr>
            <w:tcW w:w="2684"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2432"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18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highlight w:val="none"/>
              </w:rPr>
            </w:pPr>
          </w:p>
        </w:tc>
      </w:tr>
      <w:tr>
        <w:tblPrEx>
          <w:tblLayout w:type="fixed"/>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bl>
    <w:p>
      <w:pPr>
        <w:spacing w:before="25"/>
        <w:jc w:val="both"/>
        <w:rPr>
          <w:rFonts w:hint="eastAsia" w:ascii="仿宋" w:hAnsi="仿宋" w:eastAsia="仿宋" w:cs="仿宋"/>
          <w:highlight w:val="none"/>
        </w:rPr>
      </w:pPr>
      <w:r>
        <w:rPr>
          <w:rFonts w:hint="eastAsia" w:ascii="仿宋" w:hAnsi="仿宋" w:eastAsia="仿宋" w:cs="仿宋"/>
          <w:highlight w:val="none"/>
        </w:rPr>
        <w:t>注：本表反映本年度政府性基金预算财政拨款支出情况。</w:t>
      </w:r>
    </w:p>
    <w:p>
      <w:pPr>
        <w:spacing w:before="25"/>
        <w:ind w:left="440" w:leftChars="200"/>
        <w:jc w:val="both"/>
        <w:rPr>
          <w:rFonts w:hint="eastAsia" w:ascii="仿宋" w:hAnsi="仿宋" w:eastAsia="仿宋" w:cs="仿宋"/>
          <w:highlight w:val="none"/>
          <w:lang w:val="en-US"/>
        </w:rPr>
      </w:pPr>
      <w:r>
        <w:rPr>
          <w:rFonts w:ascii="仿宋" w:hAnsi="仿宋" w:eastAsia="仿宋" w:cs="仿宋"/>
          <w:highlight w:val="none"/>
          <w:u w:color="auto"/>
        </w:rPr>
        <w:t>本部门无政府性基金预算收入支出决算，故本表为空。</w:t>
      </w:r>
    </w:p>
    <w:p>
      <w:pPr>
        <w:spacing w:before="25"/>
        <w:jc w:val="both"/>
        <w:rPr>
          <w:rFonts w:hint="eastAsia" w:ascii="仿宋" w:hAnsi="仿宋" w:eastAsia="仿宋" w:cs="仿宋"/>
          <w:highlight w:val="none"/>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Layout w:type="fixed"/>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highlight w:val="none"/>
              </w:rPr>
            </w:pPr>
            <w:r>
              <w:rPr>
                <w:rFonts w:hint="eastAsia"/>
                <w:b/>
                <w:bCs/>
                <w:color w:val="000000"/>
                <w:sz w:val="36"/>
                <w:szCs w:val="36"/>
                <w:highlight w:val="none"/>
                <w:lang w:eastAsia="ar-SA"/>
              </w:rPr>
              <w:t>国有资本经营预算支出决算表</w:t>
            </w:r>
          </w:p>
        </w:tc>
      </w:tr>
      <w:tr>
        <w:tblPrEx>
          <w:tblLayout w:type="fixed"/>
          <w:tblCellMar>
            <w:top w:w="55" w:type="dxa"/>
            <w:left w:w="55" w:type="dxa"/>
            <w:bottom w:w="55" w:type="dxa"/>
            <w:right w:w="55" w:type="dxa"/>
          </w:tblCellMar>
        </w:tblPrEx>
        <w:trPr>
          <w:trHeight w:val="323" w:hRule="atLeast"/>
        </w:trPr>
        <w:tc>
          <w:tcPr>
            <w:tcW w:w="8520" w:type="dxa"/>
            <w:gridSpan w:val="2"/>
          </w:tcPr>
          <w:p>
            <w:pPr>
              <w:pStyle w:val="22"/>
              <w:rPr>
                <w:rFonts w:hint="eastAsia" w:ascii="仿宋" w:hAnsi="仿宋" w:eastAsia="仿宋" w:cs="仿宋"/>
                <w:sz w:val="20"/>
                <w:highlight w:val="none"/>
              </w:rPr>
            </w:pPr>
          </w:p>
        </w:tc>
        <w:tc>
          <w:tcPr>
            <w:tcW w:w="2510" w:type="dxa"/>
          </w:tcPr>
          <w:p>
            <w:pPr>
              <w:pStyle w:val="22"/>
              <w:rPr>
                <w:rFonts w:hint="eastAsia" w:ascii="仿宋" w:hAnsi="仿宋" w:eastAsia="仿宋" w:cs="仿宋"/>
                <w:sz w:val="27"/>
                <w:highlight w:val="none"/>
              </w:rPr>
            </w:pPr>
          </w:p>
        </w:tc>
        <w:tc>
          <w:tcPr>
            <w:tcW w:w="2309" w:type="dxa"/>
          </w:tcPr>
          <w:p>
            <w:pPr>
              <w:pStyle w:val="22"/>
              <w:rPr>
                <w:rFonts w:hint="eastAsia" w:ascii="仿宋" w:hAnsi="仿宋" w:eastAsia="仿宋" w:cs="仿宋"/>
                <w:sz w:val="20"/>
                <w:highlight w:val="none"/>
              </w:rPr>
            </w:pPr>
          </w:p>
        </w:tc>
        <w:tc>
          <w:tcPr>
            <w:tcW w:w="2061" w:type="dxa"/>
            <w:vAlign w:val="center"/>
          </w:tcPr>
          <w:p>
            <w:pPr>
              <w:pStyle w:val="22"/>
              <w:jc w:val="right"/>
              <w:rPr>
                <w:rFonts w:hint="eastAsia" w:ascii="仿宋" w:hAnsi="仿宋" w:eastAsia="仿宋" w:cs="仿宋"/>
                <w:sz w:val="27"/>
                <w:highlight w:val="none"/>
              </w:rPr>
            </w:pPr>
            <w:r>
              <w:rPr>
                <w:rFonts w:hint="eastAsia" w:ascii="仿宋" w:hAnsi="仿宋" w:eastAsia="仿宋" w:cs="仿宋"/>
                <w:highlight w:val="none"/>
              </w:rPr>
              <w:t>公开1</w:t>
            </w:r>
            <w:r>
              <w:rPr>
                <w:rFonts w:hint="eastAsia" w:ascii="仿宋" w:hAnsi="仿宋" w:eastAsia="仿宋" w:cs="仿宋"/>
                <w:highlight w:val="none"/>
                <w:lang w:val="en-US"/>
              </w:rPr>
              <w:t>1</w:t>
            </w:r>
            <w:r>
              <w:rPr>
                <w:rFonts w:hint="eastAsia" w:ascii="仿宋" w:hAnsi="仿宋" w:eastAsia="仿宋" w:cs="仿宋"/>
                <w:highlight w:val="none"/>
              </w:rPr>
              <w:t>表</w:t>
            </w:r>
          </w:p>
        </w:tc>
      </w:tr>
      <w:tr>
        <w:tblPrEx>
          <w:tblLayout w:type="fixed"/>
          <w:tblCellMar>
            <w:top w:w="55" w:type="dxa"/>
            <w:left w:w="55" w:type="dxa"/>
            <w:bottom w:w="55" w:type="dxa"/>
            <w:right w:w="55" w:type="dxa"/>
          </w:tblCellMar>
        </w:tblPrEx>
        <w:trPr>
          <w:trHeight w:val="152" w:hRule="atLeast"/>
        </w:trPr>
        <w:tc>
          <w:tcPr>
            <w:tcW w:w="13339" w:type="dxa"/>
            <w:gridSpan w:val="4"/>
            <w:vAlign w:val="center"/>
          </w:tcPr>
          <w:p>
            <w:pPr>
              <w:pStyle w:val="22"/>
              <w:rPr>
                <w:rFonts w:hint="eastAsia" w:ascii="仿宋" w:hAnsi="仿宋" w:eastAsia="仿宋" w:cs="仿宋"/>
                <w:sz w:val="20"/>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2061" w:type="dxa"/>
            <w:vAlign w:val="center"/>
          </w:tcPr>
          <w:p>
            <w:pPr>
              <w:pStyle w:val="22"/>
              <w:jc w:val="right"/>
              <w:rPr>
                <w:rFonts w:hint="eastAsia" w:ascii="仿宋" w:hAnsi="仿宋" w:eastAsia="仿宋" w:cs="仿宋"/>
                <w:sz w:val="27"/>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w:t>
            </w:r>
            <w:r>
              <w:rPr>
                <w:rFonts w:hint="eastAsia" w:ascii="仿宋" w:hAnsi="仿宋" w:eastAsia="仿宋" w:cs="仿宋"/>
                <w:highlight w:val="none"/>
              </w:rPr>
              <w:tab/>
            </w:r>
            <w:r>
              <w:rPr>
                <w:rFonts w:hint="eastAsia" w:ascii="仿宋" w:hAnsi="仿宋" w:eastAsia="仿宋" w:cs="仿宋"/>
                <w:highlight w:val="none"/>
              </w:rPr>
              <w:t>目</w:t>
            </w:r>
          </w:p>
        </w:tc>
        <w:tc>
          <w:tcPr>
            <w:tcW w:w="2510"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本年支出合计</w:t>
            </w:r>
          </w:p>
        </w:tc>
        <w:tc>
          <w:tcPr>
            <w:tcW w:w="2309"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项目支出</w:t>
            </w:r>
          </w:p>
        </w:tc>
      </w:tr>
      <w:tr>
        <w:tblPrEx>
          <w:tblLayout w:type="fixed"/>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功能分类</w:t>
            </w:r>
          </w:p>
          <w:p>
            <w:pPr>
              <w:pStyle w:val="22"/>
              <w:jc w:val="center"/>
              <w:rPr>
                <w:rFonts w:hint="eastAsia" w:ascii="仿宋" w:hAnsi="仿宋" w:eastAsia="仿宋" w:cs="仿宋"/>
                <w:highlight w:val="none"/>
              </w:rPr>
            </w:pPr>
            <w:r>
              <w:rPr>
                <w:rFonts w:hint="eastAsia" w:ascii="仿宋" w:hAnsi="仿宋" w:eastAsia="仿宋" w:cs="仿宋"/>
                <w:highlight w:val="none"/>
              </w:rPr>
              <w:t>科目编码</w:t>
            </w:r>
          </w:p>
        </w:tc>
        <w:tc>
          <w:tcPr>
            <w:tcW w:w="7058"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科目名称</w:t>
            </w:r>
          </w:p>
        </w:tc>
        <w:tc>
          <w:tcPr>
            <w:tcW w:w="2510" w:type="dxa"/>
            <w:vMerge w:val="continue"/>
            <w:tcBorders>
              <w:left w:val="single" w:color="000000" w:sz="4" w:space="0"/>
              <w:bottom w:val="single" w:color="000000" w:sz="4" w:space="0"/>
            </w:tcBorders>
          </w:tcPr>
          <w:p>
            <w:pPr>
              <w:rPr>
                <w:rFonts w:hint="eastAsia" w:ascii="仿宋" w:hAnsi="仿宋" w:eastAsia="仿宋" w:cs="仿宋"/>
                <w:highlight w:val="none"/>
              </w:rPr>
            </w:pPr>
          </w:p>
        </w:tc>
        <w:tc>
          <w:tcPr>
            <w:tcW w:w="2309"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p>
        </w:tc>
        <w:tc>
          <w:tcPr>
            <w:tcW w:w="2061" w:type="dxa"/>
            <w:vMerge w:val="continue"/>
            <w:tcBorders>
              <w:left w:val="single" w:color="000000" w:sz="4" w:space="0"/>
              <w:bottom w:val="single" w:color="000000" w:sz="4" w:space="0"/>
              <w:right w:val="single" w:color="000000" w:sz="4" w:space="0"/>
            </w:tcBorders>
          </w:tcPr>
          <w:p>
            <w:pPr>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栏次</w:t>
            </w:r>
          </w:p>
        </w:tc>
        <w:tc>
          <w:tcPr>
            <w:tcW w:w="2510"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lang w:val="en-US"/>
              </w:rPr>
            </w:pPr>
            <w:r>
              <w:rPr>
                <w:rFonts w:hint="eastAsia" w:ascii="仿宋" w:hAnsi="仿宋" w:eastAsia="仿宋" w:cs="仿宋"/>
                <w:highlight w:val="none"/>
                <w:lang w:val="en-US"/>
              </w:rPr>
              <w:t>1</w:t>
            </w:r>
          </w:p>
        </w:tc>
        <w:tc>
          <w:tcPr>
            <w:tcW w:w="2309"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2</w:t>
            </w:r>
          </w:p>
        </w:tc>
        <w:tc>
          <w:tcPr>
            <w:tcW w:w="2061"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lang w:val="en-US"/>
              </w:rPr>
            </w:pPr>
            <w:r>
              <w:rPr>
                <w:rFonts w:hint="eastAsia" w:ascii="仿宋" w:hAnsi="仿宋" w:eastAsia="仿宋" w:cs="仿宋"/>
                <w:highlight w:val="none"/>
                <w:lang w:val="en-US"/>
              </w:rPr>
              <w:t>3</w:t>
            </w:r>
          </w:p>
        </w:tc>
      </w:tr>
      <w:tr>
        <w:tblPrEx>
          <w:tblLayout w:type="fixed"/>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合计</w:t>
            </w:r>
          </w:p>
        </w:tc>
        <w:tc>
          <w:tcPr>
            <w:tcW w:w="251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2309"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highlight w:val="none"/>
              </w:rPr>
            </w:pPr>
          </w:p>
        </w:tc>
        <w:tc>
          <w:tcPr>
            <w:tcW w:w="2061"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highlight w:val="none"/>
              </w:rPr>
            </w:pPr>
          </w:p>
        </w:tc>
      </w:tr>
      <w:tr>
        <w:tblPrEx>
          <w:tblLayout w:type="fixed"/>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bl>
    <w:p>
      <w:pPr>
        <w:jc w:val="both"/>
        <w:rPr>
          <w:rFonts w:hint="eastAsia" w:ascii="仿宋" w:hAnsi="仿宋" w:eastAsia="仿宋" w:cs="仿宋"/>
          <w:highlight w:val="none"/>
        </w:rPr>
      </w:pPr>
      <w:r>
        <w:rPr>
          <w:rFonts w:hint="eastAsia" w:ascii="仿宋" w:hAnsi="仿宋" w:eastAsia="仿宋" w:cs="仿宋"/>
          <w:highlight w:val="none"/>
        </w:rPr>
        <w:t>注：本表反映本年度国有资本经营预算财政拨款支出情况。</w:t>
      </w:r>
    </w:p>
    <w:p>
      <w:pPr>
        <w:ind w:left="440" w:leftChars="200"/>
        <w:jc w:val="both"/>
        <w:rPr>
          <w:rFonts w:hint="eastAsia" w:ascii="仿宋" w:hAnsi="仿宋" w:eastAsia="仿宋" w:cs="仿宋"/>
          <w:highlight w:val="none"/>
          <w:lang w:val="en-US"/>
        </w:rPr>
      </w:pPr>
      <w:r>
        <w:rPr>
          <w:rFonts w:ascii="仿宋" w:hAnsi="仿宋" w:eastAsia="仿宋" w:cs="仿宋"/>
          <w:highlight w:val="none"/>
          <w:u w:color="auto"/>
        </w:rPr>
        <w:t>本部门无</w:t>
      </w:r>
      <w:r>
        <w:rPr>
          <w:rFonts w:hint="eastAsia" w:ascii="仿宋" w:hAnsi="仿宋" w:eastAsia="仿宋" w:cs="仿宋"/>
          <w:highlight w:val="none"/>
        </w:rPr>
        <w:t>国有资本经营预算支出</w:t>
      </w:r>
      <w:r>
        <w:rPr>
          <w:rFonts w:hint="eastAsia" w:ascii="仿宋" w:hAnsi="仿宋" w:eastAsia="仿宋" w:cs="仿宋"/>
          <w:highlight w:val="none"/>
          <w:lang w:val="en-US"/>
        </w:rPr>
        <w:t>决算，故本表为空。</w:t>
      </w:r>
    </w:p>
    <w:p>
      <w:pPr>
        <w:spacing w:before="25"/>
        <w:ind w:left="-220" w:leftChars="-100"/>
        <w:jc w:val="both"/>
        <w:rPr>
          <w:rFonts w:hint="eastAsia" w:ascii="仿宋" w:hAnsi="仿宋" w:eastAsia="仿宋" w:cs="仿宋"/>
          <w:highlight w:val="none"/>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3"/>
        <w:tblW w:w="10466" w:type="dxa"/>
        <w:tblInd w:w="53" w:type="dxa"/>
        <w:tblLayout w:type="fixed"/>
        <w:tblCellMar>
          <w:top w:w="55" w:type="dxa"/>
          <w:left w:w="55" w:type="dxa"/>
          <w:bottom w:w="55" w:type="dxa"/>
          <w:right w:w="55" w:type="dxa"/>
        </w:tblCellMar>
      </w:tblPr>
      <w:tblGrid>
        <w:gridCol w:w="1642"/>
        <w:gridCol w:w="4990"/>
        <w:gridCol w:w="3834"/>
      </w:tblGrid>
      <w:tr>
        <w:tblPrEx>
          <w:tblLayout w:type="fixed"/>
          <w:tblCellMar>
            <w:top w:w="55" w:type="dxa"/>
            <w:left w:w="55" w:type="dxa"/>
            <w:bottom w:w="55" w:type="dxa"/>
            <w:right w:w="55" w:type="dxa"/>
          </w:tblCellMar>
        </w:tblPrEx>
        <w:trPr>
          <w:trHeight w:val="319" w:hRule="atLeast"/>
        </w:trPr>
        <w:tc>
          <w:tcPr>
            <w:tcW w:w="10466" w:type="dxa"/>
            <w:gridSpan w:val="3"/>
          </w:tcPr>
          <w:p>
            <w:pPr>
              <w:pStyle w:val="22"/>
              <w:tabs>
                <w:tab w:val="left" w:pos="610"/>
              </w:tabs>
              <w:spacing w:before="28"/>
              <w:ind w:left="8"/>
              <w:jc w:val="center"/>
              <w:rPr>
                <w:rFonts w:hint="eastAsia" w:ascii="仿宋" w:hAnsi="仿宋" w:eastAsia="仿宋" w:cs="仿宋"/>
                <w:b/>
                <w:bCs/>
                <w:sz w:val="44"/>
                <w:szCs w:val="44"/>
                <w:highlight w:val="none"/>
              </w:rPr>
            </w:pPr>
            <w:r>
              <w:rPr>
                <w:rFonts w:hint="eastAsia"/>
                <w:b/>
                <w:bCs/>
                <w:color w:val="000000"/>
                <w:sz w:val="36"/>
                <w:szCs w:val="36"/>
                <w:highlight w:val="none"/>
                <w:lang w:val="en-US" w:eastAsia="ar-SA"/>
              </w:rPr>
              <w:t>财政拨款</w:t>
            </w:r>
            <w:r>
              <w:rPr>
                <w:rFonts w:hint="eastAsia"/>
                <w:b/>
                <w:bCs/>
                <w:color w:val="000000"/>
                <w:sz w:val="36"/>
                <w:szCs w:val="36"/>
                <w:highlight w:val="none"/>
                <w:lang w:eastAsia="ar-SA"/>
              </w:rPr>
              <w:t>机关运行经费支出决算表</w:t>
            </w:r>
          </w:p>
        </w:tc>
      </w:tr>
      <w:tr>
        <w:tblPrEx>
          <w:tblLayout w:type="fixed"/>
          <w:tblCellMar>
            <w:top w:w="55" w:type="dxa"/>
            <w:left w:w="55" w:type="dxa"/>
            <w:bottom w:w="55" w:type="dxa"/>
            <w:right w:w="55" w:type="dxa"/>
          </w:tblCellMar>
        </w:tblPrEx>
        <w:trPr>
          <w:trHeight w:val="90" w:hRule="atLeast"/>
        </w:trPr>
        <w:tc>
          <w:tcPr>
            <w:tcW w:w="6632" w:type="dxa"/>
            <w:gridSpan w:val="2"/>
          </w:tcPr>
          <w:p>
            <w:pPr>
              <w:pStyle w:val="22"/>
              <w:rPr>
                <w:rFonts w:hint="eastAsia" w:ascii="仿宋" w:hAnsi="仿宋" w:eastAsia="仿宋" w:cs="仿宋"/>
                <w:sz w:val="20"/>
                <w:highlight w:val="none"/>
              </w:rPr>
            </w:pPr>
          </w:p>
        </w:tc>
        <w:tc>
          <w:tcPr>
            <w:tcW w:w="3834" w:type="dxa"/>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公开1</w:t>
            </w:r>
            <w:r>
              <w:rPr>
                <w:rFonts w:hint="eastAsia" w:ascii="仿宋" w:hAnsi="仿宋" w:eastAsia="仿宋" w:cs="仿宋"/>
                <w:highlight w:val="none"/>
                <w:lang w:val="en-US"/>
              </w:rPr>
              <w:t>2</w:t>
            </w:r>
            <w:r>
              <w:rPr>
                <w:rFonts w:hint="eastAsia" w:ascii="仿宋" w:hAnsi="仿宋" w:eastAsia="仿宋" w:cs="仿宋"/>
                <w:highlight w:val="none"/>
              </w:rPr>
              <w:t>表</w:t>
            </w:r>
          </w:p>
        </w:tc>
      </w:tr>
      <w:tr>
        <w:tblPrEx>
          <w:tblLayout w:type="fixed"/>
          <w:tblCellMar>
            <w:top w:w="55" w:type="dxa"/>
            <w:left w:w="55" w:type="dxa"/>
            <w:bottom w:w="55" w:type="dxa"/>
            <w:right w:w="55" w:type="dxa"/>
          </w:tblCellMar>
        </w:tblPrEx>
        <w:trPr>
          <w:trHeight w:val="90" w:hRule="atLeast"/>
        </w:trPr>
        <w:tc>
          <w:tcPr>
            <w:tcW w:w="6632" w:type="dxa"/>
            <w:gridSpan w:val="2"/>
            <w:vAlign w:val="center"/>
          </w:tcPr>
          <w:p>
            <w:pPr>
              <w:pStyle w:val="22"/>
              <w:rPr>
                <w:rFonts w:hint="eastAsia" w:ascii="仿宋" w:hAnsi="仿宋" w:eastAsia="仿宋" w:cs="仿宋"/>
                <w:sz w:val="20"/>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3834" w:type="dxa"/>
            <w:vAlign w:val="center"/>
          </w:tcPr>
          <w:p>
            <w:pPr>
              <w:pStyle w:val="22"/>
              <w:jc w:val="right"/>
              <w:rPr>
                <w:rFonts w:hint="eastAsia" w:ascii="仿宋" w:hAnsi="仿宋" w:eastAsia="仿宋" w:cs="仿宋"/>
                <w:sz w:val="27"/>
                <w:highlight w:val="none"/>
              </w:rPr>
            </w:pPr>
            <w:r>
              <w:rPr>
                <w:rFonts w:hint="eastAsia" w:ascii="仿宋" w:hAnsi="仿宋" w:eastAsia="仿宋" w:cs="仿宋"/>
                <w:highlight w:val="none"/>
              </w:rPr>
              <w:t>金额单位：万元</w:t>
            </w:r>
          </w:p>
        </w:tc>
      </w:tr>
      <w:tr>
        <w:tblPrEx>
          <w:tblLayout w:type="fixed"/>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highlight w:val="none"/>
              </w:rPr>
            </w:pPr>
            <w:r>
              <w:rPr>
                <w:rFonts w:hint="eastAsia" w:ascii="仿宋" w:hAnsi="仿宋" w:eastAsia="仿宋" w:cs="仿宋"/>
                <w:highlight w:val="none"/>
              </w:rPr>
              <w:t>项</w:t>
            </w:r>
            <w:r>
              <w:rPr>
                <w:rFonts w:hint="eastAsia" w:ascii="仿宋" w:hAnsi="仿宋" w:eastAsia="仿宋" w:cs="仿宋"/>
                <w:highlight w:val="none"/>
              </w:rPr>
              <w:tab/>
            </w:r>
            <w:r>
              <w:rPr>
                <w:rFonts w:hint="eastAsia" w:ascii="仿宋" w:hAnsi="仿宋" w:eastAsia="仿宋" w:cs="仿宋"/>
                <w:highlight w:val="none"/>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机关运行经费支出决算</w:t>
            </w:r>
          </w:p>
        </w:tc>
      </w:tr>
      <w:tr>
        <w:tblPrEx>
          <w:tblLayout w:type="fixed"/>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科目编码</w:t>
            </w:r>
          </w:p>
        </w:tc>
        <w:tc>
          <w:tcPr>
            <w:tcW w:w="4990" w:type="dxa"/>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科目名称</w:t>
            </w:r>
          </w:p>
        </w:tc>
        <w:tc>
          <w:tcPr>
            <w:tcW w:w="38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highlight w:val="none"/>
              </w:rPr>
            </w:pPr>
          </w:p>
        </w:tc>
      </w:tr>
      <w:tr>
        <w:tblPrEx>
          <w:tblLayout w:type="fixed"/>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合计</w:t>
            </w:r>
          </w:p>
        </w:tc>
        <w:tc>
          <w:tcPr>
            <w:tcW w:w="3834"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559.53</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559.53</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24.91</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5.11</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91.84</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117.48</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0.88</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3.56</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1.23</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0.34</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164.53</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4.72</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r>
              <w:rPr>
                <w:rFonts w:hint="eastAsia" w:ascii="仿宋" w:hAnsi="仿宋" w:eastAsia="仿宋" w:cs="仿宋"/>
                <w:highlight w:val="none"/>
              </w:rPr>
              <w:t>144.92</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b/>
                <w:highlight w:val="none"/>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highlight w:val="none"/>
              </w:rPr>
            </w:pPr>
          </w:p>
        </w:tc>
      </w:tr>
    </w:tbl>
    <w:p>
      <w:pPr>
        <w:spacing w:before="25"/>
        <w:ind w:right="-92" w:rightChars="-42"/>
        <w:jc w:val="both"/>
        <w:rPr>
          <w:rFonts w:hint="eastAsia" w:ascii="仿宋" w:hAnsi="仿宋" w:eastAsia="仿宋" w:cs="仿宋"/>
          <w:highlight w:val="none"/>
          <w:lang w:val="en-US"/>
        </w:rPr>
      </w:pPr>
      <w:r>
        <w:rPr>
          <w:rFonts w:hint="eastAsia" w:ascii="仿宋" w:hAnsi="仿宋" w:eastAsia="仿宋" w:cs="仿宋"/>
          <w:highlight w:val="none"/>
        </w:rPr>
        <w:t>注：“机关运行经费” 指行政单位（含参照公务员法管理的事业单位）使用</w:t>
      </w:r>
      <w:r>
        <w:rPr>
          <w:rFonts w:hint="eastAsia" w:ascii="仿宋" w:hAnsi="仿宋" w:eastAsia="仿宋" w:cs="仿宋"/>
          <w:highlight w:val="none"/>
          <w:lang w:val="en-US"/>
        </w:rPr>
        <w:t>财政拨款</w:t>
      </w:r>
      <w:r>
        <w:rPr>
          <w:rFonts w:hint="eastAsia" w:ascii="仿宋" w:hAnsi="仿宋" w:eastAsia="仿宋" w:cs="仿宋"/>
          <w:highlight w:val="none"/>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tabs>
          <w:tab w:val="left" w:pos="440"/>
        </w:tabs>
        <w:spacing w:before="25"/>
        <w:ind w:left="440" w:leftChars="200"/>
        <w:jc w:val="both"/>
        <w:rPr>
          <w:rFonts w:hint="eastAsia" w:ascii="仿宋" w:hAnsi="仿宋" w:eastAsia="仿宋" w:cs="仿宋"/>
          <w:highlight w:val="none"/>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3"/>
        <w:tblW w:w="10459" w:type="dxa"/>
        <w:tblInd w:w="45" w:type="dxa"/>
        <w:tblLayout w:type="fixed"/>
        <w:tblCellMar>
          <w:top w:w="55" w:type="dxa"/>
          <w:left w:w="55" w:type="dxa"/>
          <w:bottom w:w="55" w:type="dxa"/>
          <w:right w:w="55" w:type="dxa"/>
        </w:tblCellMar>
      </w:tblPr>
      <w:tblGrid>
        <w:gridCol w:w="4472"/>
        <w:gridCol w:w="722"/>
        <w:gridCol w:w="1992"/>
        <w:gridCol w:w="3273"/>
      </w:tblGrid>
      <w:tr>
        <w:tblPrEx>
          <w:tblLayout w:type="fixed"/>
          <w:tblCellMar>
            <w:top w:w="55" w:type="dxa"/>
            <w:left w:w="55" w:type="dxa"/>
            <w:bottom w:w="55" w:type="dxa"/>
            <w:right w:w="55" w:type="dxa"/>
          </w:tblCellMar>
        </w:tblPrEx>
        <w:trPr>
          <w:trHeight w:val="333" w:hRule="atLeast"/>
        </w:trPr>
        <w:tc>
          <w:tcPr>
            <w:tcW w:w="10459" w:type="dxa"/>
            <w:gridSpan w:val="4"/>
            <w:vAlign w:val="center"/>
          </w:tcPr>
          <w:p>
            <w:pPr>
              <w:pStyle w:val="22"/>
              <w:jc w:val="center"/>
              <w:rPr>
                <w:rFonts w:hint="eastAsia" w:ascii="仿宋" w:hAnsi="仿宋" w:eastAsia="仿宋" w:cs="仿宋"/>
                <w:b/>
                <w:bCs/>
                <w:sz w:val="44"/>
                <w:szCs w:val="44"/>
                <w:highlight w:val="none"/>
              </w:rPr>
            </w:pPr>
            <w:r>
              <w:rPr>
                <w:rFonts w:hint="eastAsia"/>
                <w:b/>
                <w:bCs/>
                <w:color w:val="000000"/>
                <w:sz w:val="36"/>
                <w:szCs w:val="36"/>
                <w:highlight w:val="none"/>
                <w:lang w:eastAsia="ar-SA"/>
              </w:rPr>
              <w:t>政府采购支出决算表</w:t>
            </w:r>
          </w:p>
        </w:tc>
      </w:tr>
      <w:tr>
        <w:tblPrEx>
          <w:tblLayout w:type="fixed"/>
          <w:tblCellMar>
            <w:top w:w="55" w:type="dxa"/>
            <w:left w:w="55" w:type="dxa"/>
            <w:bottom w:w="55" w:type="dxa"/>
            <w:right w:w="55" w:type="dxa"/>
          </w:tblCellMar>
        </w:tblPrEx>
        <w:trPr>
          <w:trHeight w:val="333" w:hRule="atLeast"/>
        </w:trPr>
        <w:tc>
          <w:tcPr>
            <w:tcW w:w="4472" w:type="dxa"/>
          </w:tcPr>
          <w:p>
            <w:pPr>
              <w:pStyle w:val="22"/>
              <w:rPr>
                <w:rFonts w:hint="eastAsia" w:ascii="仿宋" w:hAnsi="仿宋" w:eastAsia="仿宋" w:cs="仿宋"/>
                <w:highlight w:val="none"/>
              </w:rPr>
            </w:pPr>
          </w:p>
        </w:tc>
        <w:tc>
          <w:tcPr>
            <w:tcW w:w="722" w:type="dxa"/>
          </w:tcPr>
          <w:p>
            <w:pPr>
              <w:pStyle w:val="22"/>
              <w:rPr>
                <w:rFonts w:hint="eastAsia" w:ascii="仿宋" w:hAnsi="仿宋" w:eastAsia="仿宋" w:cs="仿宋"/>
                <w:highlight w:val="none"/>
              </w:rPr>
            </w:pPr>
          </w:p>
        </w:tc>
        <w:tc>
          <w:tcPr>
            <w:tcW w:w="1992" w:type="dxa"/>
          </w:tcPr>
          <w:p>
            <w:pPr>
              <w:pStyle w:val="22"/>
              <w:rPr>
                <w:rFonts w:hint="eastAsia" w:ascii="仿宋" w:hAnsi="仿宋" w:eastAsia="仿宋" w:cs="仿宋"/>
                <w:highlight w:val="none"/>
              </w:rPr>
            </w:pPr>
          </w:p>
        </w:tc>
        <w:tc>
          <w:tcPr>
            <w:tcW w:w="3273" w:type="dxa"/>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公开1</w:t>
            </w:r>
            <w:r>
              <w:rPr>
                <w:rFonts w:hint="eastAsia" w:ascii="仿宋" w:hAnsi="仿宋" w:eastAsia="仿宋" w:cs="仿宋"/>
                <w:highlight w:val="none"/>
                <w:lang w:val="en-US"/>
              </w:rPr>
              <w:t>3</w:t>
            </w:r>
            <w:r>
              <w:rPr>
                <w:rFonts w:hint="eastAsia" w:ascii="仿宋" w:hAnsi="仿宋" w:eastAsia="仿宋" w:cs="仿宋"/>
                <w:highlight w:val="none"/>
              </w:rPr>
              <w:t>表</w:t>
            </w:r>
          </w:p>
        </w:tc>
      </w:tr>
      <w:tr>
        <w:tblPrEx>
          <w:tblLayout w:type="fixed"/>
          <w:tblCellMar>
            <w:top w:w="55" w:type="dxa"/>
            <w:left w:w="55" w:type="dxa"/>
            <w:bottom w:w="55" w:type="dxa"/>
            <w:right w:w="55" w:type="dxa"/>
          </w:tblCellMar>
        </w:tblPrEx>
        <w:trPr>
          <w:trHeight w:val="90" w:hRule="atLeast"/>
        </w:trPr>
        <w:tc>
          <w:tcPr>
            <w:tcW w:w="7186" w:type="dxa"/>
            <w:gridSpan w:val="3"/>
          </w:tcPr>
          <w:p>
            <w:pPr>
              <w:pStyle w:val="22"/>
              <w:rPr>
                <w:rFonts w:hint="eastAsia" w:ascii="仿宋" w:hAnsi="仿宋" w:eastAsia="仿宋" w:cs="仿宋"/>
                <w:highlight w:val="none"/>
              </w:rPr>
            </w:pPr>
            <w:r>
              <w:rPr>
                <w:rFonts w:hint="eastAsia" w:ascii="仿宋" w:hAnsi="仿宋" w:eastAsia="仿宋" w:cs="仿宋"/>
                <w:color w:val="000000"/>
                <w:highlight w:val="none"/>
              </w:rPr>
              <w:t>部门</w:t>
            </w:r>
            <w:r>
              <w:rPr>
                <w:rFonts w:ascii="仿宋" w:hAnsi="仿宋" w:eastAsia="仿宋" w:cs="仿宋"/>
                <w:color w:val="000000"/>
                <w:highlight w:val="none"/>
                <w:u w:color="auto"/>
              </w:rPr>
              <w:t>名称：</w:t>
            </w:r>
            <w:r>
              <w:rPr>
                <w:rFonts w:hint="eastAsia" w:ascii="仿宋" w:hAnsi="仿宋" w:eastAsia="仿宋" w:cs="仿宋"/>
                <w:highlight w:val="none"/>
              </w:rPr>
              <w:t>南京市六合区人民政府长芦街道办事处</w:t>
            </w:r>
          </w:p>
        </w:tc>
        <w:tc>
          <w:tcPr>
            <w:tcW w:w="3273" w:type="dxa"/>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单位：万元</w:t>
            </w:r>
          </w:p>
        </w:tc>
      </w:tr>
      <w:tr>
        <w:tblPrEx>
          <w:tblLayout w:type="fixed"/>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highlight w:val="none"/>
                <w:lang w:val="en-US"/>
              </w:rPr>
            </w:pPr>
            <w:r>
              <w:rPr>
                <w:rFonts w:ascii="仿宋" w:hAnsi="仿宋" w:eastAsia="仿宋" w:cs="仿宋"/>
                <w:highlight w:val="none"/>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highlight w:val="none"/>
              </w:rPr>
            </w:pPr>
            <w:r>
              <w:rPr>
                <w:rFonts w:hint="eastAsia" w:ascii="仿宋" w:hAnsi="仿宋" w:eastAsia="仿宋" w:cs="仿宋"/>
                <w:highlight w:val="none"/>
              </w:rPr>
              <w:t>金</w:t>
            </w:r>
            <w:r>
              <w:rPr>
                <w:rFonts w:hint="eastAsia" w:ascii="仿宋" w:hAnsi="仿宋" w:eastAsia="仿宋" w:cs="仿宋"/>
                <w:highlight w:val="none"/>
              </w:rPr>
              <w:tab/>
            </w:r>
            <w:r>
              <w:rPr>
                <w:rFonts w:hint="eastAsia" w:ascii="仿宋" w:hAnsi="仿宋" w:eastAsia="仿宋" w:cs="仿宋"/>
                <w:highlight w:val="none"/>
              </w:rPr>
              <w:t>额</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30.00</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30.00</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30.00</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highlight w:val="none"/>
              </w:rPr>
            </w:pPr>
            <w:r>
              <w:rPr>
                <w:rFonts w:hint="eastAsia" w:ascii="仿宋" w:hAnsi="仿宋" w:eastAsia="仿宋" w:cs="仿宋"/>
                <w:highlight w:val="none"/>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highlight w:val="none"/>
              </w:rPr>
            </w:pPr>
            <w:r>
              <w:rPr>
                <w:rFonts w:hint="eastAsia" w:ascii="仿宋" w:hAnsi="仿宋" w:eastAsia="仿宋" w:cs="仿宋"/>
                <w:highlight w:val="none"/>
              </w:rPr>
              <w:t>30.00</w:t>
            </w:r>
          </w:p>
        </w:tc>
      </w:tr>
    </w:tbl>
    <w:p>
      <w:pPr>
        <w:jc w:val="both"/>
        <w:rPr>
          <w:rFonts w:hint="eastAsia" w:ascii="仿宋" w:hAnsi="仿宋" w:eastAsia="仿宋" w:cs="仿宋"/>
          <w:highlight w:val="none"/>
          <w:lang w:val="en-US"/>
        </w:rPr>
      </w:pPr>
      <w:r>
        <w:rPr>
          <w:rFonts w:hint="eastAsia" w:ascii="仿宋" w:hAnsi="仿宋" w:eastAsia="仿宋" w:cs="仿宋"/>
          <w:highlight w:val="none"/>
        </w:rPr>
        <w:t>注：</w:t>
      </w:r>
      <w:r>
        <w:rPr>
          <w:rFonts w:hint="eastAsia" w:ascii="仿宋" w:hAnsi="仿宋" w:eastAsia="仿宋" w:cs="仿宋"/>
          <w:highlight w:val="none"/>
          <w:lang w:val="en-US"/>
        </w:rPr>
        <w:t>政府采购支出信息为单位纳入部门预算范围的各项政府采购支出情况。本表金额单位转换时可能存在尾数误差</w:t>
      </w:r>
      <w:r>
        <w:rPr>
          <w:rFonts w:hint="eastAsia" w:ascii="仿宋" w:hAnsi="仿宋" w:eastAsia="仿宋" w:cs="仿宋"/>
          <w:highlight w:val="none"/>
        </w:rPr>
        <w:t>。</w:t>
      </w:r>
    </w:p>
    <w:p>
      <w:pPr>
        <w:ind w:left="440" w:leftChars="200"/>
        <w:jc w:val="both"/>
        <w:rPr>
          <w:rFonts w:hint="eastAsia" w:ascii="仿宋" w:hAnsi="仿宋" w:eastAsia="仿宋" w:cs="仿宋"/>
          <w:highlight w:val="none"/>
          <w:lang w:val="en-US"/>
        </w:rPr>
        <w:sectPr>
          <w:pgSz w:w="11906" w:h="16838"/>
          <w:pgMar w:top="720" w:right="720" w:bottom="720" w:left="720" w:header="170" w:footer="280" w:gutter="0"/>
          <w:pgNumType w:fmt="numberInDash"/>
          <w:cols w:space="720" w:num="1"/>
          <w:formProt w:val="0"/>
          <w:docGrid w:linePitch="100" w:charSpace="0"/>
        </w:sectPr>
      </w:pPr>
    </w:p>
    <w:p>
      <w:pPr>
        <w:pStyle w:val="5"/>
        <w:tabs>
          <w:tab w:val="left" w:pos="3077"/>
        </w:tabs>
        <w:spacing w:line="616" w:lineRule="exact"/>
        <w:rPr>
          <w:rFonts w:hint="eastAsia" w:ascii="宋体" w:hAnsi="宋体" w:eastAsia="宋体" w:cs="宋体"/>
          <w:b/>
          <w:bCs/>
          <w:color w:val="000000"/>
          <w:highlight w:val="none"/>
          <w:lang w:val="en-US" w:eastAsia="ar-SA"/>
        </w:rPr>
      </w:pPr>
      <w:r>
        <w:rPr>
          <w:rFonts w:hint="eastAsia" w:ascii="宋体" w:hAnsi="宋体" w:eastAsia="宋体" w:cs="宋体"/>
          <w:b/>
          <w:bCs/>
          <w:color w:val="000000"/>
          <w:highlight w:val="none"/>
          <w:lang w:eastAsia="ar-SA"/>
        </w:rPr>
        <w:t>第三部分</w:t>
      </w:r>
      <w:r>
        <w:rPr>
          <w:rFonts w:hint="eastAsia" w:ascii="宋体" w:hAnsi="宋体" w:eastAsia="宋体" w:cs="宋体"/>
          <w:b/>
          <w:bCs/>
          <w:color w:val="000000"/>
          <w:highlight w:val="none"/>
          <w:lang w:val="en-US"/>
        </w:rPr>
        <w:t xml:space="preserve"> </w:t>
      </w:r>
      <w:r>
        <w:rPr>
          <w:rFonts w:hint="eastAsia" w:ascii="宋体" w:hAnsi="宋体" w:eastAsia="宋体" w:cs="宋体"/>
          <w:b/>
          <w:bCs/>
          <w:color w:val="000000"/>
          <w:highlight w:val="none"/>
          <w:lang w:val="en-US" w:eastAsia="zh-CN"/>
        </w:rPr>
        <w:t>2024</w:t>
      </w:r>
      <w:r>
        <w:rPr>
          <w:rFonts w:hint="eastAsia" w:ascii="宋体" w:hAnsi="宋体" w:eastAsia="宋体" w:cs="宋体"/>
          <w:b/>
          <w:bCs/>
          <w:color w:val="000000"/>
          <w:highlight w:val="none"/>
          <w:lang w:eastAsia="ar-SA"/>
        </w:rPr>
        <w:t>年度</w:t>
      </w:r>
      <w:r>
        <w:rPr>
          <w:rFonts w:hint="eastAsia" w:ascii="宋体" w:hAnsi="宋体" w:eastAsia="宋体" w:cs="宋体"/>
          <w:b/>
          <w:bCs/>
          <w:color w:val="000000"/>
          <w:highlight w:val="none"/>
          <w:lang w:val="en-US" w:eastAsia="ar-SA"/>
        </w:rPr>
        <w:t>部门</w:t>
      </w:r>
      <w:r>
        <w:rPr>
          <w:rFonts w:hint="eastAsia" w:ascii="宋体" w:hAnsi="宋体" w:eastAsia="宋体" w:cs="宋体"/>
          <w:b/>
          <w:bCs/>
          <w:color w:val="000000"/>
          <w:highlight w:val="none"/>
          <w:lang w:eastAsia="ar-SA"/>
        </w:rPr>
        <w:t>决算情况说明</w:t>
      </w:r>
    </w:p>
    <w:p>
      <w:pPr>
        <w:pStyle w:val="8"/>
        <w:tabs>
          <w:tab w:val="left" w:pos="3864"/>
          <w:tab w:val="left" w:pos="6248"/>
          <w:tab w:val="left" w:pos="7386"/>
        </w:tabs>
        <w:spacing w:before="1" w:line="360" w:lineRule="auto"/>
        <w:ind w:left="348" w:right="420" w:firstLine="640"/>
        <w:jc w:val="both"/>
        <w:rPr>
          <w:rFonts w:hint="eastAsia" w:ascii="仿宋" w:hAnsi="仿宋" w:eastAsia="仿宋" w:cs="仿宋"/>
          <w:highlight w:val="none"/>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一、收入支出决算总体情况说明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2024年度收入、支出决算总计15,488万元。与上年相比，收、支总计各减少2,546万元，减少14.12%。其中：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（一）收入决算总计15,488万元。包括：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1.本年收入决算合计15,488万元。与上年相比，减少2,546万元，减少14.12%，</w:t>
      </w:r>
      <w:r>
        <w:rPr>
          <w:rFonts w:hint="eastAsia" w:ascii="仿宋" w:hAnsi="仿宋" w:eastAsia="仿宋" w:cs="仿宋"/>
          <w:highlight w:val="none"/>
          <w:u w:color="auto"/>
        </w:rPr>
        <w:t>主要变动原因是</w:t>
      </w:r>
      <w:r>
        <w:rPr>
          <w:rFonts w:hint="eastAsia" w:ascii="仿宋" w:hAnsi="仿宋" w:eastAsia="仿宋" w:cs="仿宋"/>
          <w:highlight w:val="none"/>
          <w:u w:color="auto"/>
          <w:lang w:eastAsia="zh-CN"/>
        </w:rPr>
        <w:t>当年取消</w:t>
      </w:r>
      <w:r>
        <w:rPr>
          <w:rFonts w:hint="eastAsia" w:ascii="仿宋" w:hAnsi="仿宋" w:eastAsia="仿宋" w:cs="仿宋"/>
          <w:highlight w:val="none"/>
          <w:u w:color="auto"/>
        </w:rPr>
        <w:t>均衡性转移支付补助</w:t>
      </w:r>
      <w:r>
        <w:rPr>
          <w:rFonts w:hint="eastAsia" w:ascii="仿宋" w:hAnsi="仿宋" w:eastAsia="仿宋" w:cs="仿宋"/>
          <w:highlight w:val="none"/>
          <w:u w:color="auto"/>
          <w:lang w:eastAsia="zh-CN"/>
        </w:rPr>
        <w:t>，</w:t>
      </w:r>
      <w:r>
        <w:rPr>
          <w:rFonts w:hint="eastAsia" w:ascii="仿宋" w:hAnsi="仿宋" w:eastAsia="仿宋" w:cs="仿宋"/>
          <w:highlight w:val="none"/>
          <w:u w:color="auto"/>
        </w:rPr>
        <w:t>一般公共预算财政拨款收入减少，经财力结算后，本年实际收入为15,488万元。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2.使用非财政拨款结余（含专用结余）0万元。与上年决算数相同。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3.年初结转和结余0万元。与上年决算数相同。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（二）支出决算总计15,488万元。包括：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1.本年支出决算合计15,488万元。与上年相比，减少2,546万元，减少14.12%，变动原因：以收定支，收入15488万元，相应减少支出，最终确定支出15488万元，收支相等。</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2.结余分配0万元。与上年决算数相同。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3.年末结转和结余0万元。与上年决算数相同。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二、收入决算情况说明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本年收入决算合计15,488万元，其中：财政拨款收入15,488万元，占100%；上级补助收入0万元，占0%；财政专户管理教育收费0万元，占0%；事业收入（不含专户管理教育收费）0万元，占0%；经营收入0万元，占0%；附属单位上缴收入0万元，占0%；其他收入0万元，占0%。</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highlight w:val="none"/>
          <w:lang w:val="en-US"/>
        </w:rPr>
      </w:pPr>
      <w:r>
        <w:rPr>
          <w:rFonts w:hint="eastAsia" w:ascii="仿宋" w:hAnsi="仿宋" w:eastAsia="仿宋" w:cs="仿宋"/>
          <w:highlight w:val="none"/>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三、支出决算情况说明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2024年度本年支出决算合计15,488万元，其中：基本支出12,273.52万元，占79.25%；项目支出3,214.48万元，占20.75%；上缴上级支出0万元，占0%；经营支出0万元，占0%；对附属单位补助支出0万元，占0%。</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highlight w:val="none"/>
          <w:lang w:val="en-US"/>
        </w:rPr>
      </w:pPr>
      <w:r>
        <w:rPr>
          <w:rFonts w:hint="eastAsia" w:ascii="仿宋" w:hAnsi="仿宋" w:eastAsia="仿宋" w:cs="仿宋"/>
          <w:highlight w:val="none"/>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四、财政拨款收入支出决算总体情况说明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2024年度财政拨款收入、支出决算总计15,488万元。与上年相比，收、支总计各减少2,546万元，减少14.12%，</w:t>
      </w:r>
      <w:r>
        <w:rPr>
          <w:rFonts w:hint="eastAsia" w:ascii="仿宋" w:hAnsi="仿宋" w:eastAsia="仿宋" w:cs="仿宋"/>
          <w:highlight w:val="none"/>
          <w:u w:color="auto"/>
        </w:rPr>
        <w:t>主要变动原因是</w:t>
      </w:r>
      <w:r>
        <w:rPr>
          <w:rFonts w:hint="eastAsia" w:ascii="仿宋" w:hAnsi="仿宋" w:eastAsia="仿宋" w:cs="仿宋"/>
          <w:highlight w:val="none"/>
          <w:u w:color="auto"/>
          <w:lang w:eastAsia="zh-CN"/>
        </w:rPr>
        <w:t>当年取消</w:t>
      </w:r>
      <w:r>
        <w:rPr>
          <w:rFonts w:hint="eastAsia" w:ascii="仿宋" w:hAnsi="仿宋" w:eastAsia="仿宋" w:cs="仿宋"/>
          <w:highlight w:val="none"/>
          <w:u w:color="auto"/>
        </w:rPr>
        <w:t>均衡性转移支付补助</w:t>
      </w:r>
      <w:r>
        <w:rPr>
          <w:rFonts w:hint="eastAsia" w:ascii="仿宋" w:hAnsi="仿宋" w:eastAsia="仿宋" w:cs="仿宋"/>
          <w:highlight w:val="none"/>
          <w:u w:color="auto"/>
          <w:lang w:eastAsia="zh-CN"/>
        </w:rPr>
        <w:t>，</w:t>
      </w:r>
      <w:r>
        <w:rPr>
          <w:rFonts w:hint="eastAsia" w:ascii="仿宋" w:hAnsi="仿宋" w:eastAsia="仿宋" w:cs="仿宋"/>
          <w:highlight w:val="none"/>
          <w:u w:color="auto"/>
        </w:rPr>
        <w:t>一般公共预算财政拨款收入减少，经财力结算后当年实际财政拨款收入确定为15,488万元；按照“以收定支”原则，根据15,488万元的实际收入规模相应压减支出预算，最终确定年度财政拨款支出为15,488万元，确保收支</w:t>
      </w:r>
      <w:r>
        <w:rPr>
          <w:rFonts w:hint="eastAsia" w:ascii="仿宋" w:hAnsi="仿宋" w:eastAsia="仿宋" w:cs="仿宋"/>
          <w:highlight w:val="none"/>
          <w:u w:color="auto"/>
          <w:lang w:eastAsia="zh-CN"/>
        </w:rPr>
        <w:t>平衡</w:t>
      </w:r>
      <w:r>
        <w:rPr>
          <w:rFonts w:hint="eastAsia" w:ascii="仿宋" w:hAnsi="仿宋" w:eastAsia="仿宋" w:cs="仿宋"/>
          <w:highlight w:val="none"/>
          <w:u w:color="auto"/>
        </w:rPr>
        <w:t>。</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五、财政拨款支出决算情况说明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2024年度财政拨款支出决算15,488万元，占本年支出合计的100%。与2024年度财政拨款支出年初预算17,000万元相比，完成年初预算的91.11%。其中：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（一）一般公共服务支出（类）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政府办公厅（室）及相关机构事务（款）行政运行（项）。年初预算10,770.79万元，支出决算3,596.71万元，完成年初预算的33.39%。</w:t>
      </w:r>
      <w:r>
        <w:rPr>
          <w:rFonts w:hint="eastAsia" w:ascii="仿宋" w:hAnsi="仿宋" w:eastAsia="仿宋" w:cs="仿宋"/>
          <w:highlight w:val="none"/>
          <w:u w:color="auto"/>
        </w:rPr>
        <w:t>决算数与年初预算数差异原因</w:t>
      </w:r>
      <w:r>
        <w:rPr>
          <w:rFonts w:hint="eastAsia" w:ascii="仿宋" w:hAnsi="仿宋" w:eastAsia="仿宋" w:cs="仿宋"/>
          <w:highlight w:val="none"/>
          <w:u w:color="auto"/>
          <w:lang w:eastAsia="zh-CN"/>
        </w:rPr>
        <w:t>：</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hint="eastAsia" w:ascii="仿宋" w:hAnsi="仿宋" w:eastAsia="仿宋" w:cs="仿宋"/>
          <w:highlight w:val="none"/>
          <w:u w:color="auto"/>
          <w:lang w:eastAsia="zh-CN"/>
        </w:rPr>
        <w:t>相应</w:t>
      </w:r>
      <w:r>
        <w:rPr>
          <w:rFonts w:hint="eastAsia" w:ascii="仿宋" w:hAnsi="仿宋" w:eastAsia="仿宋" w:cs="仿宋"/>
          <w:highlight w:val="none"/>
          <w:u w:color="auto"/>
        </w:rPr>
        <w:t>金额已调整至其他功能分类科目中。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（二）公共安全支出（类）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公安（款）其他公安支出（项）。年初预算856.36万元，支出决算1,473.82万元，完成年初预算的172.1%。决算数与年初预算数的差异原因：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（三）教育支出（类）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1.普通教育（款）学前教育（项）。年初预算203万元，支出决算182.55万元，完成年初预算的89.93%。决算数与年初预算数的差异原因：</w:t>
      </w:r>
      <w:r>
        <w:rPr>
          <w:rFonts w:hint="eastAsia" w:ascii="仿宋" w:hAnsi="仿宋" w:eastAsia="仿宋" w:cs="仿宋"/>
          <w:highlight w:val="none"/>
          <w:u w:color="auto"/>
        </w:rPr>
        <w:t>根据工作安排调整，从本项目中调剂35万元至小学教育项目</w:t>
      </w:r>
      <w:r>
        <w:rPr>
          <w:rFonts w:ascii="仿宋" w:hAnsi="仿宋" w:eastAsia="仿宋" w:cs="仿宋"/>
          <w:highlight w:val="none"/>
          <w:u w:color="auto"/>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2.普通教育（款）小学教育（项）。年初预算0万元，支出决算35万元，（年初预算数为0万元，无法计算完成比率）决算数与年初预算数的差异原因：</w:t>
      </w:r>
      <w:r>
        <w:rPr>
          <w:rFonts w:hint="eastAsia" w:ascii="仿宋" w:hAnsi="仿宋" w:eastAsia="仿宋" w:cs="仿宋"/>
          <w:highlight w:val="none"/>
          <w:u w:color="auto"/>
        </w:rPr>
        <w:t>根据工作安排调整，</w:t>
      </w:r>
      <w:r>
        <w:rPr>
          <w:rFonts w:ascii="仿宋" w:hAnsi="仿宋" w:eastAsia="仿宋" w:cs="仿宋"/>
          <w:highlight w:val="none"/>
          <w:u w:color="auto"/>
        </w:rPr>
        <w:t>从学前教育中调</w:t>
      </w:r>
      <w:r>
        <w:rPr>
          <w:rFonts w:hint="eastAsia" w:ascii="仿宋" w:hAnsi="仿宋" w:eastAsia="仿宋" w:cs="仿宋"/>
          <w:highlight w:val="none"/>
          <w:u w:color="auto"/>
        </w:rPr>
        <w:t>剂</w:t>
      </w:r>
      <w:r>
        <w:rPr>
          <w:rFonts w:ascii="仿宋" w:hAnsi="仿宋" w:eastAsia="仿宋" w:cs="仿宋"/>
          <w:highlight w:val="none"/>
          <w:u w:color="auto"/>
        </w:rPr>
        <w:t>35万元</w:t>
      </w:r>
      <w:r>
        <w:rPr>
          <w:rFonts w:hint="eastAsia" w:ascii="仿宋" w:hAnsi="仿宋" w:eastAsia="仿宋" w:cs="仿宋"/>
          <w:highlight w:val="none"/>
          <w:u w:color="auto"/>
        </w:rPr>
        <w:t>至小学教育项目</w:t>
      </w:r>
      <w:r>
        <w:rPr>
          <w:rFonts w:ascii="仿宋" w:hAnsi="仿宋" w:eastAsia="仿宋" w:cs="仿宋"/>
          <w:highlight w:val="none"/>
          <w:u w:color="auto"/>
        </w:rPr>
        <w:t>。</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（四）科学技术支出（类）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其他科学技术支出（款）其他科学技术支出（项）。年初预算2,081.25万元，支出决算0万元，完成年初预算的0%。决算数与年初预算数的差异原因：</w:t>
      </w:r>
      <w:r>
        <w:rPr>
          <w:rFonts w:hint="eastAsia" w:ascii="仿宋" w:hAnsi="仿宋" w:eastAsia="仿宋" w:cs="仿宋"/>
          <w:highlight w:val="none"/>
          <w:u w:color="auto"/>
        </w:rPr>
        <w:t>因本年收入较去年减少2546万元，为匹配收入规模，对该项支出予以全额调减</w:t>
      </w:r>
      <w:r>
        <w:rPr>
          <w:rFonts w:ascii="仿宋" w:hAnsi="仿宋" w:eastAsia="仿宋" w:cs="仿宋"/>
          <w:highlight w:val="none"/>
          <w:u w:color="auto"/>
        </w:rPr>
        <w:t>。</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（五）文化旅游体育与传媒支出（类）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文化和旅游（款）群众文化（项）。年初预算30万元，支出决算199.36万元，完成年初预算的664.53%。决算数与年初预算数的差异原因：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（六）社会保障和就业支出（类）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sz w:val="36"/>
          <w:szCs w:val="36"/>
          <w:highlight w:val="none"/>
          <w:lang w:val="en-US"/>
        </w:rPr>
      </w:pPr>
      <w:r>
        <w:rPr>
          <w:rFonts w:ascii="仿宋" w:hAnsi="仿宋" w:eastAsia="仿宋" w:cs="仿宋"/>
          <w:highlight w:val="none"/>
          <w:u w:color="auto"/>
        </w:rPr>
        <w:t>1.民政管理事务（款）基层政权建设和社区治理（项）。年初预算14.3万元，支出决算14.57万元，完成年初预算的101.89%。决算数与年初预算数的差异原因：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2.民政管理事务（款）其他民政管理事务支出（项）。年初预算107万元，支出决算353.09万元，完成年初预算的329.99%。决算数与年初预算数的差异原因：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3.行政事业单位养老支出（款）行政单位离退休（项）。年初预算0万元，支出决算592.2万元，（年初预算数为0万元，无法计算完成比率）决算数与年初预算数的差异原因：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highlight w:val="none"/>
          <w:u w:color="auto"/>
        </w:rPr>
      </w:pPr>
      <w:r>
        <w:rPr>
          <w:rFonts w:ascii="仿宋" w:hAnsi="仿宋" w:eastAsia="仿宋" w:cs="仿宋"/>
          <w:highlight w:val="none"/>
          <w:u w:color="auto"/>
        </w:rPr>
        <w:t>4.抚恤（款）死亡抚恤（项）。年初预算0万元，支出决算24.6万元，（年初预算数为0万元，无法计算完成比率）决算数与年初预算数的差异原因：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5.抚恤（款）伤残抚恤（项）。年初预算0万元，支出决算70.75万元，（年初预算数为0万元，无法计算完成比率）决算数与年初预算数的差异原因：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6.抚恤（款）在乡复员、退伍军人生活补助（项）。年初预算0万元，支出决算27万元，（年初预算数为0万元，无法计算完成比率）决算数与年初预算数的差异原因：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highlight w:val="none"/>
          <w:u w:color="auto"/>
        </w:rPr>
      </w:pPr>
      <w:r>
        <w:rPr>
          <w:rFonts w:ascii="仿宋" w:hAnsi="仿宋" w:eastAsia="仿宋" w:cs="仿宋"/>
          <w:highlight w:val="none"/>
          <w:u w:color="auto"/>
        </w:rPr>
        <w:t>7.抚恤（款）其他优抚支出（项）。年初预算0万元，支出决算417.22万元，（年初预算数为0万元，无法计算完成比率）决算数与年初预算数的差异原因：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8.退役安置（款）军队移交政府的离退休人员安置（项）。年初预算0万元，支出决算10.67万元，（年初预算数为0万元，无法计算完成比率）决算数与年初预算数的差异原因：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9.特困人员救助供养（款）农村特困人员救助供养支出（项）。年初预算0万元，支出决算322.69万元，（年初预算数为0万元，无法计算完成比率）决算数与年初预算数的差异原因：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10.其他生活救助（款）其他农村生活救助（项）。年初预算0万元，支出决算1,053.75万元，（年初预算数为0万元，无法计算完成比率）决算数与年初预算数的差异原因：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11.其他社会保障和就业支出（款）其他社会保障和就业支出（项）。年初预算26.3万元，支出决算483.5万元，完成年初预算的1,838.4%。决算数与年初预算数的差异原因：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（七）卫生健康支出（类）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1.公共卫生（款）其他公共卫生支出（项）。年初预算210万元，支出决算335.58万元，完成年初预算的159.8%。决算数与年初预算数的差异原因：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2.计划生育事务（款）其他计划生育事务支出（项）。年初预算0万元，支出决算288.15万元，（年初预算数为0万元，无法计算完成比率）决算数与年初预算数的差异原因：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（八）城乡社区支出（类）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1.城乡社区管理事务（款）其他城乡社区管理事务支出（项）。年初预算967.3万元，支出决算1,957.71万元，完成年初预算的202.39%。决算数与年初预算数的差异原因：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2.城乡社区环境卫生（款）城乡社区环境卫生（项）。年初预算0万元，支出决算735.32万元，（年初预算数为0万元，无法计算完成比率）决算数与年初预算数的差异原因：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（九）农林水支出（类）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1.农业农村（款）农业生产发展（项）。年初预算0万元，支出决算251万元，（年初预算数为0万元，无法计算完成比率）决算数与年初预算数的差异原因：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2.农业农村（款）其他农业农村支出（项）。年初预算664.7万元，支出决算532.44万元，完成年初预算的80.1%。决算数与年初预算数的差异原因：</w:t>
      </w:r>
      <w:r>
        <w:rPr>
          <w:rFonts w:hint="eastAsia" w:ascii="仿宋" w:hAnsi="仿宋" w:eastAsia="仿宋" w:cs="仿宋"/>
          <w:highlight w:val="none"/>
          <w:u w:color="auto"/>
        </w:rPr>
        <w:t>因本年收入较去年减少2546万元，为匹配收入规模，对该项支出予以</w:t>
      </w:r>
      <w:r>
        <w:rPr>
          <w:rFonts w:ascii="仿宋" w:hAnsi="仿宋" w:eastAsia="仿宋" w:cs="仿宋"/>
          <w:highlight w:val="none"/>
          <w:u w:color="auto"/>
        </w:rPr>
        <w:t>调减。</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3.水利（款）其他水利支出（项）。年初预算163万元，支出决算49.17万元，完成年初预算的30.17%。决算数与年初预算数的差异原因：</w:t>
      </w:r>
      <w:r>
        <w:rPr>
          <w:rFonts w:hint="eastAsia" w:ascii="仿宋" w:hAnsi="仿宋" w:eastAsia="仿宋" w:cs="仿宋"/>
          <w:highlight w:val="none"/>
          <w:u w:color="auto"/>
        </w:rPr>
        <w:t>因本年收入较去年减少2546万元，为匹配收入规模，对该项支出予以</w:t>
      </w:r>
      <w:r>
        <w:rPr>
          <w:rFonts w:ascii="仿宋" w:hAnsi="仿宋" w:eastAsia="仿宋" w:cs="仿宋"/>
          <w:highlight w:val="none"/>
          <w:u w:color="auto"/>
        </w:rPr>
        <w:t>调减。</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4.农村综合改革（款）对村集体经济组织的补助（项）。年初预算906万元，支出决算1,073.9万元，完成年初预算的118.53%。决算数与年初预算数的差异原因：</w:t>
      </w:r>
      <w:r>
        <w:rPr>
          <w:rFonts w:hint="eastAsia" w:ascii="仿宋" w:hAnsi="仿宋" w:eastAsia="仿宋" w:cs="仿宋"/>
          <w:highlight w:val="none"/>
          <w:u w:color="auto"/>
        </w:rPr>
        <w:t>为落实“三保”工作要求，需加大对村居的补助力度以兜牢“三保”支出底线。</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5.目标价格补贴（款）其他目标价格补贴（项）。年初预算0万元，支出决算153万元，（年初预算数为0万元，无法计算完成比率）决算数与年初预算数的差异原因：</w:t>
      </w:r>
      <w:r>
        <w:rPr>
          <w:rFonts w:hint="eastAsia" w:ascii="仿宋" w:hAnsi="仿宋" w:eastAsia="仿宋" w:cs="仿宋"/>
          <w:highlight w:val="none"/>
          <w:u w:color="auto"/>
          <w:lang w:eastAsia="zh-CN"/>
        </w:rPr>
        <w:t>根据</w:t>
      </w:r>
      <w:r>
        <w:rPr>
          <w:rFonts w:hint="eastAsia" w:ascii="仿宋" w:hAnsi="仿宋" w:eastAsia="仿宋" w:cs="仿宋"/>
          <w:highlight w:val="none"/>
          <w:u w:color="auto"/>
        </w:rPr>
        <w:t>上级</w:t>
      </w:r>
      <w:r>
        <w:rPr>
          <w:rFonts w:hint="eastAsia" w:ascii="仿宋" w:hAnsi="仿宋" w:eastAsia="仿宋" w:cs="仿宋"/>
          <w:highlight w:val="none"/>
          <w:u w:color="auto"/>
          <w:lang w:eastAsia="zh-CN"/>
        </w:rPr>
        <w:t>政策</w:t>
      </w:r>
      <w:r>
        <w:rPr>
          <w:rFonts w:hint="eastAsia" w:ascii="仿宋" w:hAnsi="仿宋" w:eastAsia="仿宋" w:cs="仿宋"/>
          <w:highlight w:val="none"/>
          <w:u w:color="auto"/>
        </w:rPr>
        <w:t>新增涉农价格补贴项目，列入本年一般</w:t>
      </w:r>
      <w:r>
        <w:rPr>
          <w:rFonts w:hint="eastAsia" w:ascii="仿宋" w:hAnsi="仿宋" w:eastAsia="仿宋" w:cs="仿宋"/>
          <w:highlight w:val="none"/>
          <w:u w:color="auto"/>
          <w:lang w:eastAsia="zh-CN"/>
        </w:rPr>
        <w:t>公共</w:t>
      </w:r>
      <w:r>
        <w:rPr>
          <w:rFonts w:hint="eastAsia" w:ascii="仿宋" w:hAnsi="仿宋" w:eastAsia="仿宋" w:cs="仿宋"/>
          <w:highlight w:val="none"/>
          <w:u w:color="auto"/>
        </w:rPr>
        <w:t>预算支出</w:t>
      </w:r>
      <w:r>
        <w:rPr>
          <w:rFonts w:ascii="仿宋" w:hAnsi="仿宋" w:eastAsia="仿宋" w:cs="仿宋"/>
          <w:highlight w:val="none"/>
          <w:u w:color="auto"/>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6.其他农林水支出（款）其他农林水支出（项）。年初预算0万元，支出决算755.67万元，（年初预算数为0万元，无法计算完成比率）决算数与年初预算数的差异原因：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（十）资源勘探工业信息等支出（类）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支持中小企业发展和管理支出（款）其他支持中小企业发展和管理支出（项）。年初预算0万元，支出决算498.58万元，（年初预算数为0万元，无法计算完成比率）决算数与年初预算数的差异原因：</w:t>
      </w:r>
      <w:r>
        <w:rPr>
          <w:rFonts w:hint="eastAsia" w:ascii="仿宋" w:hAnsi="仿宋" w:eastAsia="仿宋" w:cs="仿宋"/>
          <w:highlight w:val="none"/>
          <w:u w:color="auto"/>
        </w:rPr>
        <w:t>因机构</w:t>
      </w:r>
      <w:r>
        <w:rPr>
          <w:rFonts w:hint="eastAsia" w:ascii="仿宋" w:hAnsi="仿宋" w:eastAsia="仿宋" w:cs="仿宋"/>
          <w:highlight w:val="none"/>
          <w:u w:color="auto"/>
          <w:lang w:eastAsia="zh-CN"/>
        </w:rPr>
        <w:t>调整</w:t>
      </w:r>
      <w:r>
        <w:rPr>
          <w:rFonts w:hint="eastAsia" w:ascii="仿宋" w:hAnsi="仿宋" w:eastAsia="仿宋" w:cs="仿宋"/>
          <w:highlight w:val="none"/>
          <w:u w:color="auto"/>
        </w:rPr>
        <w:t>，对</w:t>
      </w:r>
      <w:r>
        <w:rPr>
          <w:rFonts w:hint="eastAsia" w:ascii="仿宋" w:hAnsi="仿宋" w:eastAsia="仿宋" w:cs="仿宋"/>
          <w:highlight w:val="none"/>
          <w:u w:color="auto"/>
          <w:lang w:eastAsia="zh-CN"/>
        </w:rPr>
        <w:t>人员经费</w:t>
      </w:r>
      <w:r>
        <w:rPr>
          <w:rFonts w:hint="eastAsia" w:ascii="仿宋" w:hAnsi="仿宋" w:eastAsia="仿宋" w:cs="仿宋"/>
          <w:highlight w:val="none"/>
          <w:u w:color="auto"/>
        </w:rPr>
        <w:t>预算支出进行了细致化拆分，</w:t>
      </w:r>
      <w:r>
        <w:rPr>
          <w:rFonts w:ascii="仿宋" w:hAnsi="仿宋" w:eastAsia="仿宋" w:cs="仿宋"/>
          <w:highlight w:val="none"/>
          <w:u w:color="auto"/>
        </w:rPr>
        <w:t>从一般公共服务支出调整</w:t>
      </w:r>
      <w:r>
        <w:rPr>
          <w:rFonts w:hint="eastAsia" w:ascii="仿宋" w:hAnsi="仿宋" w:eastAsia="仿宋" w:cs="仿宋"/>
          <w:highlight w:val="none"/>
          <w:u w:color="auto"/>
          <w:lang w:eastAsia="zh-CN"/>
        </w:rPr>
        <w:t>至本项</w:t>
      </w:r>
      <w:r>
        <w:rPr>
          <w:rFonts w:ascii="仿宋" w:hAnsi="仿宋" w:eastAsia="仿宋" w:cs="仿宋"/>
          <w:highlight w:val="none"/>
          <w:u w:color="auto"/>
        </w:rPr>
        <w:t>相关人员经费的支出。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六、财政拨款基本支出决算情况说明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2024年度财政拨款基本支出决算12,273.52万元，其中：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楷体" w:hAnsi="楷体" w:eastAsia="楷体" w:cs="楷体"/>
          <w:highlight w:val="none"/>
          <w:u w:color="auto"/>
        </w:rPr>
        <w:t>（一）人员经费11,713.99万元。</w:t>
      </w:r>
      <w:r>
        <w:rPr>
          <w:rFonts w:ascii="仿宋" w:hAnsi="仿宋" w:eastAsia="仿宋" w:cs="仿宋"/>
          <w:highlight w:val="none"/>
          <w:u w:color="auto"/>
        </w:rPr>
        <w:t>主要包括：基本工资、津贴补贴、奖金、机关事业单位基本养老保险缴费、职业年金缴费、职工基本医疗保险缴费、公务员医疗补助缴费、其他社会保障缴费、住房公积金、医疗费、其他工资福利支出、抚恤金、生活补助、医疗费补助、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楷体" w:hAnsi="楷体" w:eastAsia="楷体" w:cs="楷体"/>
          <w:highlight w:val="none"/>
          <w:u w:color="auto"/>
        </w:rPr>
        <w:t>（二）公用经费559.53万元。</w:t>
      </w:r>
      <w:r>
        <w:rPr>
          <w:rFonts w:ascii="仿宋" w:hAnsi="仿宋" w:eastAsia="仿宋" w:cs="仿宋"/>
          <w:highlight w:val="none"/>
          <w:u w:color="auto"/>
        </w:rPr>
        <w:t>主要包括：办公费、水费、电费、邮电费、差旅费、会议费、培训费、公务接待费、工会经费、公务用车运行维护费、其他交通费用。</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七、一般公共预算支出决算情况说明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2024年度一般公共预算财政拨款支出决算15,488万元。与上年相比，减少2,546万元，减少14.12%，变动原因：</w:t>
      </w:r>
      <w:r>
        <w:rPr>
          <w:rFonts w:hint="eastAsia" w:ascii="仿宋" w:hAnsi="仿宋" w:eastAsia="仿宋" w:cs="仿宋"/>
          <w:highlight w:val="none"/>
          <w:u w:color="auto"/>
          <w:lang w:eastAsia="zh-CN"/>
        </w:rPr>
        <w:t>当年取消</w:t>
      </w:r>
      <w:r>
        <w:rPr>
          <w:rFonts w:hint="eastAsia" w:ascii="仿宋" w:hAnsi="仿宋" w:eastAsia="仿宋" w:cs="仿宋"/>
          <w:highlight w:val="none"/>
          <w:u w:color="auto"/>
        </w:rPr>
        <w:t>均衡性转移支付补助</w:t>
      </w:r>
      <w:r>
        <w:rPr>
          <w:rFonts w:hint="eastAsia" w:ascii="仿宋" w:hAnsi="仿宋" w:eastAsia="仿宋" w:cs="仿宋"/>
          <w:highlight w:val="none"/>
          <w:u w:color="auto"/>
          <w:lang w:eastAsia="zh-CN"/>
        </w:rPr>
        <w:t>，</w:t>
      </w:r>
      <w:r>
        <w:rPr>
          <w:rFonts w:hint="eastAsia" w:ascii="仿宋" w:hAnsi="仿宋" w:eastAsia="仿宋" w:cs="仿宋"/>
          <w:highlight w:val="none"/>
          <w:u w:color="auto"/>
        </w:rPr>
        <w:t>一般公共预算财政拨款收入减少，经财力结算后，本年实际收入为15,488万元。按照“以收定支”原则，根据15,488万元的实际收入规模相应压减支出预算，最终确定年度财政拨款支出为15,488万元，确保收支</w:t>
      </w:r>
      <w:r>
        <w:rPr>
          <w:rFonts w:hint="eastAsia" w:ascii="仿宋" w:hAnsi="仿宋" w:eastAsia="仿宋" w:cs="仿宋"/>
          <w:highlight w:val="none"/>
          <w:u w:color="auto"/>
          <w:lang w:eastAsia="zh-CN"/>
        </w:rPr>
        <w:t>平衡</w:t>
      </w:r>
      <w:r>
        <w:rPr>
          <w:rFonts w:hint="eastAsia" w:ascii="仿宋" w:hAnsi="仿宋" w:eastAsia="仿宋" w:cs="仿宋"/>
          <w:highlight w:val="none"/>
          <w:u w:color="auto"/>
        </w:rPr>
        <w:t>。</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八、一般公共预算基本支出决算情况说明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2024年度一般公共预算财政拨款基本支出决算12,273.52万元，其中：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楷体" w:hAnsi="楷体" w:eastAsia="楷体" w:cs="楷体"/>
          <w:highlight w:val="none"/>
          <w:u w:color="auto"/>
        </w:rPr>
        <w:t>（一）人员经费11,713.99万元。</w:t>
      </w:r>
      <w:r>
        <w:rPr>
          <w:rFonts w:ascii="仿宋" w:hAnsi="仿宋" w:eastAsia="仿宋" w:cs="仿宋"/>
          <w:highlight w:val="none"/>
          <w:u w:color="auto"/>
        </w:rPr>
        <w:t>主要包括：基本工资、津贴补贴、奖金、机关事业单位基本养老保险缴费、职业年金缴费、职工基本医疗保险缴费、公务员医疗补助缴费、其他社会保障缴费、住房公积金、医疗费、其他工资福利支出、抚恤金、生活补助、医疗费补助、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楷体" w:hAnsi="楷体" w:eastAsia="楷体" w:cs="楷体"/>
          <w:highlight w:val="none"/>
          <w:u w:color="auto"/>
        </w:rPr>
        <w:t>（二）公用经费559.53万元。</w:t>
      </w:r>
      <w:r>
        <w:rPr>
          <w:rFonts w:ascii="仿宋" w:hAnsi="仿宋" w:eastAsia="仿宋" w:cs="仿宋"/>
          <w:highlight w:val="none"/>
          <w:u w:color="auto"/>
        </w:rPr>
        <w:t>主要包括：办公费、水费、电费、邮电费、差旅费、会议费、培训费、公务接待费、工会经费、公务用车运行维护费、其他交通费用。</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九、财政拨款“三公”经费、会议费、培训费支出情况说明</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（一）财政拨款“三公”经费支出总体情况说明。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财政拨款“三公”经费支出决算5.05万元（其中：一般公共预算支出5.05万元；政府性基金预算支出0万元；国有资本经营预算支出0万元）。与上年相比，减少0.88万元，变动原因：本着厉行节约原则，逐年压减三公经费。其中，因公出国（境）费支出0万元，占“三公”经费的0%；公务用车购置及运行维护费支出4.72万元，占“三公”经费的93.28%；公务接待费支出0.34万元，占“三公”经费的6.72%。2024年度财政拨款“三公”经费支出预算5.05万元（其中：一般公共预算支出5.05万元；政府性基金预算支出0万元；国有资本经营预算支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（二）财政拨款“三公”经费支出具体情况说明。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公务用车购置及运行维护费支出预算4.72万元（其中：一般公共预算支出4.72万元；政府性基金预算支出0万元；国有资本经营预算支出0万元），支出决算4.72万元（其中：一般公共预算支出4.72万元；政府性基金预算支出0万元；国有资本经营预算支出0万元），完成调整后预算的100%，决算数与预算数相同。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（1）公务用车购置支出决算0万元。本年度使用财政拨款购置公务用车0辆。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公务用车运行维护费支出决算4.72万元。公务用车运行维护费主要用于按规定保留的公务用车的燃料费、维修费、过桥过路费、保险费、安全奖励费用等支出。截至2024年12月31日，使用财政拨款开支的公务用车保有量为3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3．公务接待费支出预算0.34万元（其中：一般公共预算支出0.34万元；政府性基金预算支出0万元；国有资本经营预算支出0万元），支出决算0.34万元（其中：一般公共预算支出0.34万元；政府性基金预算支出0万元；国有资本经营预算支出0万元），完成调整后预算的100%，决算数与预算数相同。其中：国内公务接待支出0.34万元，接待23批次，186人次，开支内容：街道其他政府部门人员前往街道交流参观学习23次；国（境）外公务接待支出0万元，接待0批次，0人次。</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（三）财政拨款会议费支出决算情况说明。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财政拨款会议费支出预算3.56万元（其中：一般公共预算支出3.56万元；政府性基金预算支出0万元；国有资本经营预算支出0万元），支出决算3.56万元（其中：一般公共预算支出3.56万元；政府性基金预算支出0万元；国有资本经营预算支出0万元），完成调整后预算的100%，决算数与预算数相同。2024年度全年召开会议98个，参加会议2013人次，开支内容：开展</w:t>
      </w:r>
      <w:r>
        <w:rPr>
          <w:rFonts w:hint="eastAsia" w:ascii="仿宋" w:hAnsi="仿宋" w:eastAsia="仿宋" w:cs="仿宋"/>
          <w:highlight w:val="none"/>
          <w:u w:color="auto"/>
          <w:lang w:eastAsia="zh-CN"/>
        </w:rPr>
        <w:t>各项</w:t>
      </w:r>
      <w:r>
        <w:rPr>
          <w:rFonts w:ascii="仿宋" w:hAnsi="仿宋" w:eastAsia="仿宋" w:cs="仿宋"/>
          <w:highlight w:val="none"/>
          <w:u w:color="auto"/>
        </w:rPr>
        <w:t>专</w:t>
      </w:r>
      <w:r>
        <w:rPr>
          <w:rFonts w:hint="eastAsia" w:ascii="仿宋" w:hAnsi="仿宋" w:eastAsia="仿宋" w:cs="仿宋"/>
          <w:highlight w:val="none"/>
          <w:u w:color="auto"/>
          <w:lang w:eastAsia="zh-CN"/>
        </w:rPr>
        <w:t>题</w:t>
      </w:r>
      <w:r>
        <w:rPr>
          <w:rFonts w:ascii="仿宋" w:hAnsi="仿宋" w:eastAsia="仿宋" w:cs="仿宋"/>
          <w:highlight w:val="none"/>
          <w:u w:color="auto"/>
        </w:rPr>
        <w:t>会议等。</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（四）财政拨款培训费支出决算情况说明。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财政拨款培训费支出预算1.23万元（其中：一般公共预算支出1.23万元；政府性基金预算支出0万元；国有资本经营预算支出0万元），支出决算1.23万元（其中：一般公共预算支出1.23万元；政府性基金预算支出0万元；国有资本经营预算支出0万元），完成调整后预算的100%，决算数与预算数相同。2024年度全年组织培训11个，组织培训106人次，开支内容：组织街道工作人员及社区社工、网格员开展各项培训等。</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十、政府性基金预算财政拨款支出决算情况说明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2024年度政府性基金预算财政拨款支出决算0万元。与上年决算数相同。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十一、国有资本经营预算财政拨款支出决算情况说明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2024年度国有资本经营预算财政拨款支出决算0万元。与上年决算数相同。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十二、财政拨款机关运行经费支出决算情况说明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2024年度机关运行经费支出决算559.53万元（其中：一般公共预算支出559.53万元；政府性基金预算支出0万元；国有资本经营预算支出0万元）。与上年决算数相同。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十三、政府采购支出决算情况说明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政府采购支出总额30万元，其中：政府采购货物支出30万元、政府采购工程支出0万元、政府采购服务支出0万元。政府采购授予中小企业合同金额30万元，占政府采购支出总额的100%，其中：授予小微企业合同金额30万元，占授予中小企业合同金额的100%。</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截至2024年12月31日，本部门共有车辆3辆，其中：副部(省)级及以上领导用车0辆、主要领导干部用车0辆、机要通信用车1辆、应急保障用车1辆、执法执勤用车0辆、特种专业技术用车0辆、离退休干部用车0辆、其他用车1辆；单价100万元（含）以上的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highlight w:val="none"/>
          <w:lang w:val="en-US"/>
        </w:rPr>
      </w:pPr>
      <w:r>
        <w:rPr>
          <w:rFonts w:ascii="仿宋" w:hAnsi="仿宋" w:eastAsia="仿宋" w:cs="仿宋"/>
          <w:b/>
          <w:highlight w:val="none"/>
          <w:u w:color="auto"/>
        </w:rPr>
        <w:t>十五、预算绩效评价工作开展情况</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2024年度，本部门共1个项目开展了财政重点绩效评价，涉及财政性资金合计247万元；本部门开展部门整体支出财政重点绩效评价，涉及财政性资金15,488万元。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highlight w:val="none"/>
          <w:u w:color="auto"/>
        </w:rPr>
        <w:t>本部门组织所属单位共对上年度已实施完成的3个项目开展了绩效自评价，涉及财政性资金合计1,043万元；本部门组织所属单位共开展1项单位整体支出绩效自评价，涉及财政性资金合计15,488万元。</w:t>
      </w:r>
    </w:p>
    <w:p>
      <w:pPr>
        <w:pStyle w:val="5"/>
        <w:tabs>
          <w:tab w:val="left" w:pos="3077"/>
        </w:tabs>
        <w:spacing w:line="616" w:lineRule="exact"/>
        <w:rPr>
          <w:rFonts w:hint="eastAsia" w:ascii="宋体" w:hAnsi="宋体" w:eastAsia="宋体" w:cs="宋体"/>
          <w:b/>
          <w:bCs/>
          <w:highlight w:val="none"/>
        </w:rPr>
      </w:pPr>
      <w:r>
        <w:rPr>
          <w:rFonts w:hint="eastAsia" w:ascii="宋体" w:hAnsi="宋体" w:eastAsia="宋体" w:cs="宋体"/>
          <w:b/>
          <w:bCs/>
          <w:highlight w:val="none"/>
        </w:rPr>
        <w:t>第四部分 名词</w:t>
      </w:r>
      <w:r>
        <w:rPr>
          <w:rFonts w:hint="eastAsia" w:ascii="宋体" w:hAnsi="宋体" w:eastAsia="宋体" w:cs="宋体"/>
          <w:b/>
          <w:bCs/>
          <w:color w:val="000000"/>
          <w:highlight w:val="none"/>
          <w:lang w:eastAsia="ar-SA"/>
        </w:rPr>
        <w:t>解释</w:t>
      </w:r>
    </w:p>
    <w:p>
      <w:pPr>
        <w:pStyle w:val="8"/>
        <w:tabs>
          <w:tab w:val="left" w:pos="3864"/>
          <w:tab w:val="left" w:pos="6248"/>
          <w:tab w:val="left" w:pos="7386"/>
        </w:tabs>
        <w:ind w:left="440" w:leftChars="200" w:firstLine="659" w:firstLineChars="206"/>
        <w:jc w:val="both"/>
        <w:rPr>
          <w:rFonts w:hint="eastAsia" w:ascii="仿宋" w:hAnsi="仿宋" w:eastAsia="仿宋" w:cs="仿宋"/>
          <w:highlight w:val="none"/>
        </w:rPr>
      </w:pP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一、财政拨款收入</w:t>
      </w:r>
      <w:r>
        <w:rPr>
          <w:rFonts w:ascii="仿宋" w:hAnsi="仿宋" w:eastAsia="仿宋" w:cs="仿宋"/>
          <w:b/>
          <w:highlight w:val="none"/>
          <w:u w:color="auto"/>
        </w:rPr>
        <w:t>：</w:t>
      </w:r>
      <w:r>
        <w:rPr>
          <w:rFonts w:hint="eastAsia" w:ascii="仿宋" w:hAnsi="仿宋" w:eastAsia="仿宋" w:cs="仿宋"/>
          <w:highlight w:val="none"/>
        </w:rPr>
        <w:t>指单位从同级财政部门取得的各类财政拨款，包括一般公共预算财政拨款、政府性基金预算财政拨款、国有资本经营预算财政拨款。</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二、上级补助收入</w:t>
      </w:r>
      <w:r>
        <w:rPr>
          <w:rFonts w:ascii="仿宋" w:hAnsi="仿宋" w:eastAsia="仿宋" w:cs="仿宋"/>
          <w:b/>
          <w:highlight w:val="none"/>
          <w:u w:color="auto"/>
        </w:rPr>
        <w:t>：</w:t>
      </w:r>
      <w:r>
        <w:rPr>
          <w:rFonts w:hint="eastAsia" w:ascii="仿宋" w:hAnsi="仿宋" w:eastAsia="仿宋" w:cs="仿宋"/>
          <w:highlight w:val="none"/>
        </w:rPr>
        <w:t>指事业单位从主管部门和上级单位取得的非财政补助收入。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三、财政专户管理教育收费</w:t>
      </w:r>
      <w:r>
        <w:rPr>
          <w:rFonts w:ascii="仿宋" w:hAnsi="仿宋" w:eastAsia="仿宋" w:cs="仿宋"/>
          <w:b/>
          <w:highlight w:val="none"/>
          <w:u w:color="auto"/>
        </w:rPr>
        <w:t>：</w:t>
      </w:r>
      <w:r>
        <w:rPr>
          <w:rFonts w:hint="eastAsia" w:ascii="仿宋" w:hAnsi="仿宋" w:eastAsia="仿宋" w:cs="仿宋"/>
          <w:highlight w:val="none"/>
        </w:rPr>
        <w:t>指缴入财政专户、实行专项管理的高中以上学费、住宿费、高校委托培养费、函大、电大、夜大及短训班培训费等教育收费。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四、事业收入</w:t>
      </w:r>
      <w:r>
        <w:rPr>
          <w:rFonts w:ascii="仿宋" w:hAnsi="仿宋" w:eastAsia="仿宋" w:cs="仿宋"/>
          <w:b/>
          <w:highlight w:val="none"/>
          <w:u w:color="auto"/>
        </w:rPr>
        <w:t>：</w:t>
      </w:r>
      <w:r>
        <w:rPr>
          <w:rFonts w:hint="eastAsia" w:ascii="仿宋" w:hAnsi="仿宋" w:eastAsia="仿宋" w:cs="仿宋"/>
          <w:highlight w:val="none"/>
        </w:rPr>
        <w:t>指事业单位开展专业业务活动及其辅助活动取得的收入。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五、经营收入</w:t>
      </w:r>
      <w:r>
        <w:rPr>
          <w:rFonts w:ascii="仿宋" w:hAnsi="仿宋" w:eastAsia="仿宋" w:cs="仿宋"/>
          <w:b/>
          <w:highlight w:val="none"/>
          <w:u w:color="auto"/>
        </w:rPr>
        <w:t>：</w:t>
      </w:r>
      <w:r>
        <w:rPr>
          <w:rFonts w:hint="eastAsia" w:ascii="仿宋" w:hAnsi="仿宋" w:eastAsia="仿宋" w:cs="仿宋"/>
          <w:highlight w:val="none"/>
        </w:rPr>
        <w:t>指事业单位在专业业务活动及其辅助活动之外开展非独立核算经营活动取得的收入。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六、附属单位上缴收入</w:t>
      </w:r>
      <w:r>
        <w:rPr>
          <w:rFonts w:ascii="仿宋" w:hAnsi="仿宋" w:eastAsia="仿宋" w:cs="仿宋"/>
          <w:b/>
          <w:highlight w:val="none"/>
          <w:u w:color="auto"/>
        </w:rPr>
        <w:t>：</w:t>
      </w:r>
      <w:r>
        <w:rPr>
          <w:rFonts w:hint="eastAsia" w:ascii="仿宋" w:hAnsi="仿宋" w:eastAsia="仿宋" w:cs="仿宋"/>
          <w:highlight w:val="none"/>
        </w:rPr>
        <w:t>指事业单位附属独立核算单位按照有关规定上缴的收入。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七、其他收入</w:t>
      </w:r>
      <w:r>
        <w:rPr>
          <w:rFonts w:ascii="仿宋" w:hAnsi="仿宋" w:eastAsia="仿宋" w:cs="仿宋"/>
          <w:b/>
          <w:highlight w:val="none"/>
          <w:u w:color="auto"/>
        </w:rPr>
        <w:t>：</w:t>
      </w:r>
      <w:r>
        <w:rPr>
          <w:rFonts w:hint="eastAsia" w:ascii="仿宋" w:hAnsi="仿宋" w:eastAsia="仿宋" w:cs="仿宋"/>
          <w:highlight w:val="none"/>
        </w:rPr>
        <w:t>指单位取得的除上述“财政拨款收入”、 “上级补助收入”、“事业收入”、“经营收入”、“附属单位上缴收入”等以外的各项收入。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八、使用非财政拨款结余（含专用结余）</w:t>
      </w:r>
      <w:r>
        <w:rPr>
          <w:rFonts w:ascii="仿宋" w:hAnsi="仿宋" w:eastAsia="仿宋" w:cs="仿宋"/>
          <w:b/>
          <w:highlight w:val="none"/>
          <w:u w:color="auto"/>
        </w:rPr>
        <w:t>：</w:t>
      </w:r>
      <w:r>
        <w:rPr>
          <w:rFonts w:hint="eastAsia" w:ascii="仿宋" w:hAnsi="仿宋" w:eastAsia="仿宋" w:cs="仿宋"/>
          <w:highlight w:val="none"/>
        </w:rPr>
        <w:t>指事业单位按照预算管理要求使用非财政拨款结余（含专用结余）弥补当年收支差额的数额。</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九、年初结转和结余</w:t>
      </w:r>
      <w:r>
        <w:rPr>
          <w:rFonts w:ascii="仿宋" w:hAnsi="仿宋" w:eastAsia="仿宋" w:cs="仿宋"/>
          <w:b/>
          <w:highlight w:val="none"/>
          <w:u w:color="auto"/>
        </w:rPr>
        <w:t>：</w:t>
      </w:r>
      <w:r>
        <w:rPr>
          <w:rFonts w:hint="eastAsia" w:ascii="仿宋" w:hAnsi="仿宋" w:eastAsia="仿宋" w:cs="仿宋"/>
          <w:highlight w:val="none"/>
        </w:rPr>
        <w:t>指单位上年结转本年使用的基本支出结转、项目支出结转和结余、经营结余。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十、结余分配</w:t>
      </w:r>
      <w:r>
        <w:rPr>
          <w:rFonts w:ascii="仿宋" w:hAnsi="仿宋" w:eastAsia="仿宋" w:cs="仿宋"/>
          <w:b/>
          <w:highlight w:val="none"/>
          <w:u w:color="auto"/>
        </w:rPr>
        <w:t>：</w:t>
      </w:r>
      <w:r>
        <w:rPr>
          <w:rFonts w:hint="eastAsia" w:ascii="仿宋" w:hAnsi="仿宋" w:eastAsia="仿宋" w:cs="仿宋"/>
          <w:highlight w:val="none"/>
        </w:rPr>
        <w:t>指事业单位按规定缴纳的所得税以及从非财政拨款结余中提取各类结余的情况。</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十一、年末结转和结余资金</w:t>
      </w:r>
      <w:r>
        <w:rPr>
          <w:rFonts w:ascii="仿宋" w:hAnsi="仿宋" w:eastAsia="仿宋" w:cs="仿宋"/>
          <w:b/>
          <w:highlight w:val="none"/>
          <w:u w:color="auto"/>
        </w:rPr>
        <w:t>：</w:t>
      </w:r>
      <w:r>
        <w:rPr>
          <w:rFonts w:hint="eastAsia" w:ascii="仿宋" w:hAnsi="仿宋" w:eastAsia="仿宋" w:cs="仿宋"/>
          <w:highlight w:val="none"/>
        </w:rPr>
        <w:t>指单位结转下年的基本支出结转、项目支出结转和结余、经营结余。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十二、基本支出</w:t>
      </w:r>
      <w:r>
        <w:rPr>
          <w:rFonts w:ascii="仿宋" w:hAnsi="仿宋" w:eastAsia="仿宋" w:cs="仿宋"/>
          <w:b/>
          <w:highlight w:val="none"/>
          <w:u w:color="auto"/>
        </w:rPr>
        <w:t>：</w:t>
      </w:r>
      <w:r>
        <w:rPr>
          <w:rFonts w:hint="eastAsia" w:ascii="仿宋" w:hAnsi="仿宋" w:eastAsia="仿宋" w:cs="仿宋"/>
          <w:highlight w:val="none"/>
        </w:rPr>
        <w:t>指为保障机构正常运转、完成日常工作任务所发生的支出，包括人员经费和公用经费。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十三、项目支出</w:t>
      </w:r>
      <w:r>
        <w:rPr>
          <w:rFonts w:ascii="仿宋" w:hAnsi="仿宋" w:eastAsia="仿宋" w:cs="仿宋"/>
          <w:b/>
          <w:highlight w:val="none"/>
          <w:u w:color="auto"/>
        </w:rPr>
        <w:t>：</w:t>
      </w:r>
      <w:r>
        <w:rPr>
          <w:rFonts w:hint="eastAsia" w:ascii="仿宋" w:hAnsi="仿宋" w:eastAsia="仿宋" w:cs="仿宋"/>
          <w:highlight w:val="none"/>
        </w:rPr>
        <w:t>指在为完成特定的工作任务和事业发展目标所发生的支出。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十四、上缴上级支出</w:t>
      </w:r>
      <w:r>
        <w:rPr>
          <w:rFonts w:ascii="仿宋" w:hAnsi="仿宋" w:eastAsia="仿宋" w:cs="仿宋"/>
          <w:b/>
          <w:highlight w:val="none"/>
          <w:u w:color="auto"/>
        </w:rPr>
        <w:t>：</w:t>
      </w:r>
      <w:r>
        <w:rPr>
          <w:rFonts w:hint="eastAsia" w:ascii="仿宋" w:hAnsi="仿宋" w:eastAsia="仿宋" w:cs="仿宋"/>
          <w:highlight w:val="none"/>
        </w:rPr>
        <w:t>指事业单位按照财政部门和主管部门的规定上缴上级单位的支出。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十五、经营支出</w:t>
      </w:r>
      <w:r>
        <w:rPr>
          <w:rFonts w:ascii="仿宋" w:hAnsi="仿宋" w:eastAsia="仿宋" w:cs="仿宋"/>
          <w:b/>
          <w:highlight w:val="none"/>
          <w:u w:color="auto"/>
        </w:rPr>
        <w:t>：</w:t>
      </w:r>
      <w:r>
        <w:rPr>
          <w:rFonts w:hint="eastAsia" w:ascii="仿宋" w:hAnsi="仿宋" w:eastAsia="仿宋" w:cs="仿宋"/>
          <w:highlight w:val="none"/>
        </w:rPr>
        <w:t>指事业单位在专业业务活动及其辅助活动之外开展非独立核算经营活动发生的支出。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十六、对附属单位补助支出</w:t>
      </w:r>
      <w:r>
        <w:rPr>
          <w:rFonts w:ascii="仿宋" w:hAnsi="仿宋" w:eastAsia="仿宋" w:cs="仿宋"/>
          <w:b/>
          <w:highlight w:val="none"/>
          <w:u w:color="auto"/>
        </w:rPr>
        <w:t>：</w:t>
      </w:r>
      <w:r>
        <w:rPr>
          <w:rFonts w:hint="eastAsia" w:ascii="仿宋" w:hAnsi="仿宋" w:eastAsia="仿宋" w:cs="仿宋"/>
          <w:highlight w:val="none"/>
        </w:rPr>
        <w:t>指事业单位用财政拨款收入之外的收入对附属单位补助发生的支出。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十七、“三公”经费</w:t>
      </w:r>
      <w:r>
        <w:rPr>
          <w:rFonts w:ascii="仿宋" w:hAnsi="仿宋" w:eastAsia="仿宋" w:cs="仿宋"/>
          <w:b/>
          <w:highlight w:val="none"/>
          <w:u w:color="auto"/>
        </w:rPr>
        <w:t>：</w:t>
      </w:r>
      <w:r>
        <w:rPr>
          <w:rFonts w:hint="eastAsia" w:ascii="仿宋" w:hAnsi="仿宋" w:eastAsia="仿宋" w:cs="仿宋"/>
          <w:highlight w:val="none"/>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十八、机关运行经费</w:t>
      </w:r>
      <w:r>
        <w:rPr>
          <w:rFonts w:ascii="仿宋" w:hAnsi="仿宋" w:eastAsia="仿宋" w:cs="仿宋"/>
          <w:b/>
          <w:highlight w:val="none"/>
          <w:u w:color="auto"/>
        </w:rPr>
        <w:t>：</w:t>
      </w:r>
      <w:r>
        <w:rPr>
          <w:rFonts w:hint="eastAsia" w:ascii="仿宋" w:hAnsi="仿宋" w:eastAsia="仿宋" w:cs="仿宋"/>
          <w:highlight w:val="none"/>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十九、一般公共服务支出(类)政府办公厅（室）及相关机构事务(款)行政运行(项)</w:t>
      </w:r>
      <w:r>
        <w:rPr>
          <w:rFonts w:ascii="仿宋" w:hAnsi="仿宋" w:eastAsia="仿宋" w:cs="仿宋"/>
          <w:b/>
          <w:highlight w:val="none"/>
          <w:u w:color="auto"/>
        </w:rPr>
        <w:t>：</w:t>
      </w:r>
      <w:r>
        <w:rPr>
          <w:rFonts w:hint="eastAsia" w:ascii="仿宋" w:hAnsi="仿宋" w:eastAsia="仿宋" w:cs="仿宋"/>
          <w:highlight w:val="none"/>
        </w:rPr>
        <w:t>反映行政单位（包括实行公务员管理的事业单位）的基本支出。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二十、公共安全支出(类)公安(款)其他公安支出(项)</w:t>
      </w:r>
      <w:r>
        <w:rPr>
          <w:rFonts w:ascii="仿宋" w:hAnsi="仿宋" w:eastAsia="仿宋" w:cs="仿宋"/>
          <w:b/>
          <w:highlight w:val="none"/>
          <w:u w:color="auto"/>
        </w:rPr>
        <w:t>：</w:t>
      </w:r>
      <w:r>
        <w:rPr>
          <w:rFonts w:hint="eastAsia" w:ascii="仿宋" w:hAnsi="仿宋" w:eastAsia="仿宋" w:cs="仿宋"/>
          <w:highlight w:val="none"/>
        </w:rPr>
        <w:t>反映除上述项目以外其他用于公安方面的支出。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二十一、教育支出(类)普通教育(款)学前教育(项)</w:t>
      </w:r>
      <w:r>
        <w:rPr>
          <w:rFonts w:ascii="仿宋" w:hAnsi="仿宋" w:eastAsia="仿宋" w:cs="仿宋"/>
          <w:b/>
          <w:highlight w:val="none"/>
          <w:u w:color="auto"/>
        </w:rPr>
        <w:t>：</w:t>
      </w:r>
      <w:r>
        <w:rPr>
          <w:rFonts w:hint="eastAsia" w:ascii="仿宋" w:hAnsi="仿宋" w:eastAsia="仿宋" w:cs="仿宋"/>
          <w:highlight w:val="none"/>
        </w:rPr>
        <w:t>反映各部门举办的学前教育支出。政府各部门对社会组织等举办的幼儿园的资助，如捐赠、补贴等，也在本科目中反映。</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二十二、教育支出(类)普通教育(款)小学教育(项)</w:t>
      </w:r>
      <w:r>
        <w:rPr>
          <w:rFonts w:ascii="仿宋" w:hAnsi="仿宋" w:eastAsia="仿宋" w:cs="仿宋"/>
          <w:b/>
          <w:highlight w:val="none"/>
          <w:u w:color="auto"/>
        </w:rPr>
        <w:t>：</w:t>
      </w:r>
      <w:r>
        <w:rPr>
          <w:rFonts w:hint="eastAsia" w:ascii="仿宋" w:hAnsi="仿宋" w:eastAsia="仿宋" w:cs="仿宋"/>
          <w:highlight w:val="none"/>
        </w:rPr>
        <w:t>反映各部门举办的小学教育支出。政府各部门对社会组织等举办的小学的资助，如捐赠、补贴等，也在本科目中反映。</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二十三、文化旅游体育与传媒支出(类)文化和旅游(款)群众文化(项)</w:t>
      </w:r>
      <w:r>
        <w:rPr>
          <w:rFonts w:ascii="仿宋" w:hAnsi="仿宋" w:eastAsia="仿宋" w:cs="仿宋"/>
          <w:b/>
          <w:highlight w:val="none"/>
          <w:u w:color="auto"/>
        </w:rPr>
        <w:t>：</w:t>
      </w:r>
      <w:r>
        <w:rPr>
          <w:rFonts w:hint="eastAsia" w:ascii="仿宋" w:hAnsi="仿宋" w:eastAsia="仿宋" w:cs="仿宋"/>
          <w:highlight w:val="none"/>
        </w:rPr>
        <w:t>反映群众文化方面的支出，包括基层文化馆（站）、群众艺术馆支出等。</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二十四、社会保障和就业支出(类)民政管理事务(款)基层政权建设和社区治理(项)</w:t>
      </w:r>
      <w:r>
        <w:rPr>
          <w:rFonts w:ascii="仿宋" w:hAnsi="仿宋" w:eastAsia="仿宋" w:cs="仿宋"/>
          <w:b/>
          <w:highlight w:val="none"/>
          <w:u w:color="auto"/>
        </w:rPr>
        <w:t>：</w:t>
      </w:r>
      <w:r>
        <w:rPr>
          <w:rFonts w:hint="eastAsia" w:ascii="仿宋" w:hAnsi="仿宋" w:eastAsia="仿宋" w:cs="仿宋"/>
          <w:highlight w:val="none"/>
        </w:rPr>
        <w:t>反映开展城乡社区治理、城乡社区服务（乡村便民服务）、村（居）民自治、村（居）务公开、乡镇（街道）服务能力建设等基层政权建设和社区治理工作的支出。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二十五、社会保障和就业支出(类)民政管理事务(款)其他民政管理事务支出(项)</w:t>
      </w:r>
      <w:r>
        <w:rPr>
          <w:rFonts w:ascii="仿宋" w:hAnsi="仿宋" w:eastAsia="仿宋" w:cs="仿宋"/>
          <w:b/>
          <w:highlight w:val="none"/>
          <w:u w:color="auto"/>
        </w:rPr>
        <w:t>：</w:t>
      </w:r>
      <w:r>
        <w:rPr>
          <w:rFonts w:hint="eastAsia" w:ascii="仿宋" w:hAnsi="仿宋" w:eastAsia="仿宋" w:cs="仿宋"/>
          <w:highlight w:val="none"/>
        </w:rPr>
        <w:t>反映除上述项目以外其他用于民政管理事务的支出。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二十六、社会保障和就业支出(类)行政事业单位养老支出(款)行政单位离退休(项)</w:t>
      </w:r>
      <w:r>
        <w:rPr>
          <w:rFonts w:ascii="仿宋" w:hAnsi="仿宋" w:eastAsia="仿宋" w:cs="仿宋"/>
          <w:b/>
          <w:highlight w:val="none"/>
          <w:u w:color="auto"/>
        </w:rPr>
        <w:t>：</w:t>
      </w:r>
      <w:r>
        <w:rPr>
          <w:rFonts w:hint="eastAsia" w:ascii="仿宋" w:hAnsi="仿宋" w:eastAsia="仿宋" w:cs="仿宋"/>
          <w:highlight w:val="none"/>
        </w:rPr>
        <w:t>反映行政单位（包括实行公务员管理的事业单位）开支的离退休经费。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二十七、社会保障和就业支出(类)抚恤(款)死亡抚恤(项)</w:t>
      </w:r>
      <w:r>
        <w:rPr>
          <w:rFonts w:ascii="仿宋" w:hAnsi="仿宋" w:eastAsia="仿宋" w:cs="仿宋"/>
          <w:b/>
          <w:highlight w:val="none"/>
          <w:u w:color="auto"/>
        </w:rPr>
        <w:t>：</w:t>
      </w:r>
      <w:r>
        <w:rPr>
          <w:rFonts w:hint="eastAsia" w:ascii="仿宋" w:hAnsi="仿宋" w:eastAsia="仿宋" w:cs="仿宋"/>
          <w:highlight w:val="none"/>
        </w:rPr>
        <w:t>反映按规定用于烈士和牺牲、病故人员家属的一次性和定期抚恤金、丧葬补助费以及烈士褒扬金。</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二十八、社会保障和就业支出(类)抚恤(款)伤残抚恤(项)</w:t>
      </w:r>
      <w:r>
        <w:rPr>
          <w:rFonts w:ascii="仿宋" w:hAnsi="仿宋" w:eastAsia="仿宋" w:cs="仿宋"/>
          <w:b/>
          <w:highlight w:val="none"/>
          <w:u w:color="auto"/>
        </w:rPr>
        <w:t>：</w:t>
      </w:r>
      <w:r>
        <w:rPr>
          <w:rFonts w:hint="eastAsia" w:ascii="仿宋" w:hAnsi="仿宋" w:eastAsia="仿宋" w:cs="仿宋"/>
          <w:highlight w:val="none"/>
        </w:rPr>
        <w:t>反映按规定用于伤残人员的抚恤金和按规定开支的各种伤残补助费。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二十九、社会保障和就业支出(类)抚恤(款)在乡复员、退伍军人生活补助(项)</w:t>
      </w:r>
      <w:r>
        <w:rPr>
          <w:rFonts w:ascii="仿宋" w:hAnsi="仿宋" w:eastAsia="仿宋" w:cs="仿宋"/>
          <w:b/>
          <w:highlight w:val="none"/>
          <w:u w:color="auto"/>
        </w:rPr>
        <w:t>：</w:t>
      </w:r>
      <w:r>
        <w:rPr>
          <w:rFonts w:hint="eastAsia" w:ascii="仿宋" w:hAnsi="仿宋" w:eastAsia="仿宋" w:cs="仿宋"/>
          <w:highlight w:val="none"/>
        </w:rPr>
        <w:t>反映在乡退伍红军老战士（含西路军红军老战士、红军失散人员）、1954年10月31日前入伍的在乡复员军人、按规定办理带病回乡手续的退伍军人、符合领取定期生活补助条件的“两参”人员生活补助。</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三十、社会保障和就业支出(类)抚恤(款)其他优抚支出(项)</w:t>
      </w:r>
      <w:r>
        <w:rPr>
          <w:rFonts w:ascii="仿宋" w:hAnsi="仿宋" w:eastAsia="仿宋" w:cs="仿宋"/>
          <w:b/>
          <w:highlight w:val="none"/>
          <w:u w:color="auto"/>
        </w:rPr>
        <w:t>：</w:t>
      </w:r>
      <w:r>
        <w:rPr>
          <w:rFonts w:hint="eastAsia" w:ascii="仿宋" w:hAnsi="仿宋" w:eastAsia="仿宋" w:cs="仿宋"/>
          <w:highlight w:val="none"/>
        </w:rPr>
        <w:t>反映除上述项目以外其他用于优抚方面的支出，包括向优抚对象发放的价格临时补贴、老烈士子女、老党员定期生活补助等支出。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三十一、社会保障和就业支出(类)退役安置(款)军队移交政府的离退休人员安置(项)</w:t>
      </w:r>
      <w:r>
        <w:rPr>
          <w:rFonts w:ascii="仿宋" w:hAnsi="仿宋" w:eastAsia="仿宋" w:cs="仿宋"/>
          <w:b/>
          <w:highlight w:val="none"/>
          <w:u w:color="auto"/>
        </w:rPr>
        <w:t>：</w:t>
      </w:r>
      <w:r>
        <w:rPr>
          <w:rFonts w:hint="eastAsia" w:ascii="仿宋" w:hAnsi="仿宋" w:eastAsia="仿宋" w:cs="仿宋"/>
          <w:highlight w:val="none"/>
        </w:rPr>
        <w:t>反映移交政府的军队离退休人员安置支出。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三十二、社会保障和就业支出(类)特困人员救助供养(款)农村特困人员救助供养支出(项)</w:t>
      </w:r>
      <w:r>
        <w:rPr>
          <w:rFonts w:ascii="仿宋" w:hAnsi="仿宋" w:eastAsia="仿宋" w:cs="仿宋"/>
          <w:b/>
          <w:highlight w:val="none"/>
          <w:u w:color="auto"/>
        </w:rPr>
        <w:t>：</w:t>
      </w:r>
      <w:r>
        <w:rPr>
          <w:rFonts w:hint="eastAsia" w:ascii="仿宋" w:hAnsi="仿宋" w:eastAsia="仿宋" w:cs="仿宋"/>
          <w:highlight w:val="none"/>
        </w:rPr>
        <w:t>反映农村特困人员救助供养支出。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三十三、社会保障和就业支出(类)其他生活救助(款)其他农村生活救助(项)</w:t>
      </w:r>
      <w:r>
        <w:rPr>
          <w:rFonts w:ascii="仿宋" w:hAnsi="仿宋" w:eastAsia="仿宋" w:cs="仿宋"/>
          <w:b/>
          <w:highlight w:val="none"/>
          <w:u w:color="auto"/>
        </w:rPr>
        <w:t>：</w:t>
      </w:r>
      <w:r>
        <w:rPr>
          <w:rFonts w:hint="eastAsia" w:ascii="仿宋" w:hAnsi="仿宋" w:eastAsia="仿宋" w:cs="仿宋"/>
          <w:highlight w:val="none"/>
        </w:rPr>
        <w:t>反映除最低生活保障、临时救助、特困人员救助供养外，用于农村生活困难居民生活救助的其他支出，包括用于除优抚对象、失业人员之外农村生活困难居民的价格临时补贴支出。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三十四、社会保障和就业支出(类)其他社会保障和就业支出(款)其他社会保障和就业支出(项)</w:t>
      </w:r>
      <w:r>
        <w:rPr>
          <w:rFonts w:ascii="仿宋" w:hAnsi="仿宋" w:eastAsia="仿宋" w:cs="仿宋"/>
          <w:b/>
          <w:highlight w:val="none"/>
          <w:u w:color="auto"/>
        </w:rPr>
        <w:t>：</w:t>
      </w:r>
      <w:r>
        <w:rPr>
          <w:rFonts w:hint="eastAsia" w:ascii="仿宋" w:hAnsi="仿宋" w:eastAsia="仿宋" w:cs="仿宋"/>
          <w:highlight w:val="none"/>
        </w:rPr>
        <w:t>反映除上述项目以外其他用于社会保障和就业方面的支出。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三十五、卫生健康支出(类)公共卫生(款)其他公共卫生支出(项)</w:t>
      </w:r>
      <w:r>
        <w:rPr>
          <w:rFonts w:ascii="仿宋" w:hAnsi="仿宋" w:eastAsia="仿宋" w:cs="仿宋"/>
          <w:b/>
          <w:highlight w:val="none"/>
          <w:u w:color="auto"/>
        </w:rPr>
        <w:t>：</w:t>
      </w:r>
      <w:r>
        <w:rPr>
          <w:rFonts w:hint="eastAsia" w:ascii="仿宋" w:hAnsi="仿宋" w:eastAsia="仿宋" w:cs="仿宋"/>
          <w:highlight w:val="none"/>
        </w:rPr>
        <w:t>其他公共卫生支出反映除上述项目以外的其他用于公共卫生方面的支出。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三十六、卫生健康支出(类)计划生育事务(款)其他计划生育事务支出(项)</w:t>
      </w:r>
      <w:r>
        <w:rPr>
          <w:rFonts w:ascii="仿宋" w:hAnsi="仿宋" w:eastAsia="仿宋" w:cs="仿宋"/>
          <w:b/>
          <w:highlight w:val="none"/>
          <w:u w:color="auto"/>
        </w:rPr>
        <w:t>：</w:t>
      </w:r>
      <w:r>
        <w:rPr>
          <w:rFonts w:hint="eastAsia" w:ascii="仿宋" w:hAnsi="仿宋" w:eastAsia="仿宋" w:cs="仿宋"/>
          <w:highlight w:val="none"/>
        </w:rPr>
        <w:t>反映除上述项目以外其他用于计划生育管理事务方面的支出。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三十七、城乡社区支出(类)城乡社区管理事务(款)其他城乡社区管理事务支出(项)</w:t>
      </w:r>
      <w:r>
        <w:rPr>
          <w:rFonts w:ascii="仿宋" w:hAnsi="仿宋" w:eastAsia="仿宋" w:cs="仿宋"/>
          <w:b/>
          <w:highlight w:val="none"/>
          <w:u w:color="auto"/>
        </w:rPr>
        <w:t>：</w:t>
      </w:r>
      <w:r>
        <w:rPr>
          <w:rFonts w:hint="eastAsia" w:ascii="仿宋" w:hAnsi="仿宋" w:eastAsia="仿宋" w:cs="仿宋"/>
          <w:highlight w:val="none"/>
        </w:rPr>
        <w:t>反映除上述项目以外其他用于城乡社区管理事务方面的支出。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三十八、城乡社区支出(类)城乡社区环境卫生(款)城乡社区环境卫生(项)</w:t>
      </w:r>
      <w:r>
        <w:rPr>
          <w:rFonts w:ascii="仿宋" w:hAnsi="仿宋" w:eastAsia="仿宋" w:cs="仿宋"/>
          <w:b/>
          <w:highlight w:val="none"/>
          <w:u w:color="auto"/>
        </w:rPr>
        <w:t>：</w:t>
      </w:r>
      <w:r>
        <w:rPr>
          <w:rFonts w:hint="eastAsia" w:ascii="仿宋" w:hAnsi="仿宋" w:eastAsia="仿宋" w:cs="仿宋"/>
          <w:highlight w:val="none"/>
        </w:rPr>
        <w:t>反映城乡社区道路清扫、垃圾清运与处理、公厕建设与维护、园林绿化等方面的支出。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三十九、农林水支出(类)农业农村(款)农业生产发展(项)</w:t>
      </w:r>
      <w:r>
        <w:rPr>
          <w:rFonts w:ascii="仿宋" w:hAnsi="仿宋" w:eastAsia="仿宋" w:cs="仿宋"/>
          <w:b/>
          <w:highlight w:val="none"/>
          <w:u w:color="auto"/>
        </w:rPr>
        <w:t>：</w:t>
      </w:r>
      <w:r>
        <w:rPr>
          <w:rFonts w:hint="eastAsia" w:ascii="仿宋" w:hAnsi="仿宋" w:eastAsia="仿宋" w:cs="仿宋"/>
          <w:highlight w:val="none"/>
        </w:rPr>
        <w:t>反映用于粮油生产保障、适度规模经营、农机购置与应用补贴、优势特色主导产业发展、畜牧水产发展、农村一二三产业融合等方面支出。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四十、农林水支出(类)农业农村(款)其他农业农村支出(项)</w:t>
      </w:r>
      <w:r>
        <w:rPr>
          <w:rFonts w:ascii="仿宋" w:hAnsi="仿宋" w:eastAsia="仿宋" w:cs="仿宋"/>
          <w:b/>
          <w:highlight w:val="none"/>
          <w:u w:color="auto"/>
        </w:rPr>
        <w:t>：</w:t>
      </w:r>
      <w:r>
        <w:rPr>
          <w:rFonts w:hint="eastAsia" w:ascii="仿宋" w:hAnsi="仿宋" w:eastAsia="仿宋" w:cs="仿宋"/>
          <w:highlight w:val="none"/>
        </w:rPr>
        <w:t>反映除上述项目以外其他用于农业农村方面的支出。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四十一、农林水支出(类)水利(款)其他水利支出(项)</w:t>
      </w:r>
      <w:r>
        <w:rPr>
          <w:rFonts w:ascii="仿宋" w:hAnsi="仿宋" w:eastAsia="仿宋" w:cs="仿宋"/>
          <w:b/>
          <w:highlight w:val="none"/>
          <w:u w:color="auto"/>
        </w:rPr>
        <w:t>：</w:t>
      </w:r>
      <w:r>
        <w:rPr>
          <w:rFonts w:hint="eastAsia" w:ascii="仿宋" w:hAnsi="仿宋" w:eastAsia="仿宋" w:cs="仿宋"/>
          <w:highlight w:val="none"/>
        </w:rPr>
        <w:t>反映除上述项目以外其他用于水利方面的支出。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四十二、农林水支出(类)农村综合改革(款)对村集体经济组织的补助(项)</w:t>
      </w:r>
      <w:r>
        <w:rPr>
          <w:rFonts w:ascii="仿宋" w:hAnsi="仿宋" w:eastAsia="仿宋" w:cs="仿宋"/>
          <w:b/>
          <w:highlight w:val="none"/>
          <w:u w:color="auto"/>
        </w:rPr>
        <w:t>：</w:t>
      </w:r>
      <w:r>
        <w:rPr>
          <w:rFonts w:hint="eastAsia" w:ascii="仿宋" w:hAnsi="仿宋" w:eastAsia="仿宋" w:cs="仿宋"/>
          <w:highlight w:val="none"/>
        </w:rPr>
        <w:t>反映农村税费改革后对村集体经济组织的补助支出。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四十三、农林水支出(类)目标价格补贴(款)其他目标价格补贴(项)</w:t>
      </w:r>
      <w:r>
        <w:rPr>
          <w:rFonts w:ascii="仿宋" w:hAnsi="仿宋" w:eastAsia="仿宋" w:cs="仿宋"/>
          <w:b/>
          <w:highlight w:val="none"/>
          <w:u w:color="auto"/>
        </w:rPr>
        <w:t>：</w:t>
      </w:r>
      <w:r>
        <w:rPr>
          <w:rFonts w:hint="eastAsia" w:ascii="仿宋" w:hAnsi="仿宋" w:eastAsia="仿宋" w:cs="仿宋"/>
          <w:highlight w:val="none"/>
        </w:rPr>
        <w:t>反映除上述项目以外的其他农产品目标价格补贴支出。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四十四、农林水支出(类)其他农林水支出(款)其他农林水支出(项)</w:t>
      </w:r>
      <w:r>
        <w:rPr>
          <w:rFonts w:ascii="仿宋" w:hAnsi="仿宋" w:eastAsia="仿宋" w:cs="仿宋"/>
          <w:b/>
          <w:highlight w:val="none"/>
          <w:u w:color="auto"/>
        </w:rPr>
        <w:t>：</w:t>
      </w:r>
      <w:r>
        <w:rPr>
          <w:rFonts w:hint="eastAsia" w:ascii="仿宋" w:hAnsi="仿宋" w:eastAsia="仿宋" w:cs="仿宋"/>
          <w:highlight w:val="none"/>
        </w:rPr>
        <w:t>反映除化解债务支出以外其他用于农林水方面的支出。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highlight w:val="none"/>
        </w:rPr>
      </w:pPr>
      <w:r>
        <w:rPr>
          <w:rFonts w:hint="eastAsia" w:ascii="仿宋" w:hAnsi="仿宋" w:eastAsia="仿宋" w:cs="仿宋"/>
          <w:b/>
          <w:bCs/>
          <w:highlight w:val="none"/>
        </w:rPr>
        <w:t>四十五、资源勘探工业信息等支出(类)支持中小企业发展和管理支出(款)其他支持中小企业发展和管理支出(项)</w:t>
      </w:r>
      <w:r>
        <w:rPr>
          <w:rFonts w:ascii="仿宋" w:hAnsi="仿宋" w:eastAsia="仿宋" w:cs="仿宋"/>
          <w:b/>
          <w:highlight w:val="none"/>
          <w:u w:color="auto"/>
        </w:rPr>
        <w:t>：</w:t>
      </w:r>
      <w:r>
        <w:rPr>
          <w:rFonts w:hint="eastAsia" w:ascii="仿宋" w:hAnsi="仿宋" w:eastAsia="仿宋" w:cs="仿宋"/>
          <w:highlight w:val="none"/>
        </w:rPr>
        <w:t>反映除上述项目以外其他用于支持中小企业发展和管理方面的支出。</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FuqrEBAABPAwAADgAAAGRycy9lMm9Eb2MueG1srVPNahsxEL4X8g5C&#10;91hrB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tLqY5Rb1AWrMfAqYm4ZrP2D66Ad0ZuWDijZ/&#10;URPBOKLtTg2WQyIiP5rP5vMKQwJj4wXx2evzECHdSW9JNhoacYKlsXz7BdIhdUzJ1Zy/1caUKRr3&#10;jwMxs4dl7geO2UrDajgKWvl2h3p6HH5DHW4nJebeYW/znoxGHI3VaGxC1OsOqU0LLwhXm4QkCrdc&#10;4QB7LIxTK+qOG5bX4u97yXr9D5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W0W6q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c3PUc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B9hkcbIB&#10;AABP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ArHtr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HfQMN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fDB15L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6GA0ywAQAA&#10;TgMAAA4AAAAAAAAAAQAgAAAAHgEAAGRycy9lMm9Eb2MueG1sUEsFBgAAAAAGAAYAWQEAAEAFAAAA&#10;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tLSLIBAABOAwAADgAAAGRycy9lMm9Eb2MueG1srVNLbtswEN0XyB0I&#10;7mPKBpo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mVtLSL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d0D/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QHrbSb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bXgGawAQAA&#10;TgMAAA4AAAAAAAAAAQAgAAAAHgEAAGRycy9lMm9Eb2MueG1sUEsFBgAAAAAGAAYAWQEAAEAFAAAA&#10;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82hvQ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eastAsia"/>
        <w:lang w:val="en-US"/>
      </w:rPr>
    </w:pPr>
    <w:r>
      <w:rPr>
        <w:rFonts w:hint="eastAsia"/>
        <w:lang w:val="en-US"/>
      </w:rPr>
      <w:t>南京市六合区人民政府长芦街道办事处</w:t>
    </w:r>
    <w:r>
      <w:rPr>
        <w:rFonts w:hint="eastAsia"/>
        <w:lang w:val="en-US" w:eastAsia="zh-CN"/>
      </w:rPr>
      <w:t>2024</w:t>
    </w:r>
    <w:r>
      <w:rPr>
        <w:rFonts w:hint="eastAsia"/>
        <w:lang w:val="en-US"/>
      </w:rPr>
      <w:t>年度</w:t>
    </w:r>
    <w:r>
      <w:rPr>
        <w:u w:color="auto"/>
      </w:rPr>
      <w:t>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93445B"/>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067768"/>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CFB567E"/>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282E70"/>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6FA0B60"/>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C22AF9"/>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468BD"/>
    <w:rsid w:val="36496AF6"/>
    <w:rsid w:val="36547421"/>
    <w:rsid w:val="365E6403"/>
    <w:rsid w:val="367251E5"/>
    <w:rsid w:val="36826596"/>
    <w:rsid w:val="36903B9D"/>
    <w:rsid w:val="369736C3"/>
    <w:rsid w:val="36C301B0"/>
    <w:rsid w:val="36C40C39"/>
    <w:rsid w:val="36C95739"/>
    <w:rsid w:val="36D6243D"/>
    <w:rsid w:val="36DE6128"/>
    <w:rsid w:val="36DE6652"/>
    <w:rsid w:val="36ED050E"/>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3587E"/>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37C25"/>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0638D"/>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8F6BAA"/>
    <w:rsid w:val="3D927E3F"/>
    <w:rsid w:val="3DB41B96"/>
    <w:rsid w:val="3DD76D85"/>
    <w:rsid w:val="3DD83ABF"/>
    <w:rsid w:val="3DD86A9B"/>
    <w:rsid w:val="3DDA437C"/>
    <w:rsid w:val="3DEE4511"/>
    <w:rsid w:val="3DF461A3"/>
    <w:rsid w:val="3E03072B"/>
    <w:rsid w:val="3E0B6234"/>
    <w:rsid w:val="3E0C4997"/>
    <w:rsid w:val="3E104487"/>
    <w:rsid w:val="3E1516BF"/>
    <w:rsid w:val="3E201151"/>
    <w:rsid w:val="3E406CAF"/>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96F2B"/>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A20A34"/>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295B4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B547E4"/>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440BFA"/>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40F11"/>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9D4887"/>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5754D9"/>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6F1324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B259FC"/>
    <w:rsid w:val="69C40A40"/>
    <w:rsid w:val="69C411D0"/>
    <w:rsid w:val="69C62FFA"/>
    <w:rsid w:val="69D16911"/>
    <w:rsid w:val="69D501AF"/>
    <w:rsid w:val="69D86C6D"/>
    <w:rsid w:val="69E4001D"/>
    <w:rsid w:val="69FA48D7"/>
    <w:rsid w:val="69FF347E"/>
    <w:rsid w:val="6A066BAA"/>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343E23"/>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B40A02"/>
    <w:rsid w:val="76C2349E"/>
    <w:rsid w:val="76CB35EC"/>
    <w:rsid w:val="76CE66B2"/>
    <w:rsid w:val="76D054CE"/>
    <w:rsid w:val="77040C67"/>
    <w:rsid w:val="770B16B4"/>
    <w:rsid w:val="77112A42"/>
    <w:rsid w:val="77167266"/>
    <w:rsid w:val="77260AF8"/>
    <w:rsid w:val="773B587C"/>
    <w:rsid w:val="774271F2"/>
    <w:rsid w:val="77453760"/>
    <w:rsid w:val="774845AD"/>
    <w:rsid w:val="774E4E52"/>
    <w:rsid w:val="775C1B23"/>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11EFD"/>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2"/>
    <w:qFormat/>
    <w:uiPriority w:val="0"/>
    <w:rPr>
      <w:rFonts w:ascii="Arial Unicode MS" w:hAnsi="Arial Unicode MS" w:eastAsia="Arial Unicode MS" w:cs="Arial Unicode MS"/>
      <w:sz w:val="18"/>
      <w:szCs w:val="18"/>
      <w:lang w:val="zh-CN" w:bidi="zh-CN"/>
    </w:rPr>
  </w:style>
  <w:style w:type="character" w:customStyle="1" w:styleId="17">
    <w:name w:val="页脚 字符"/>
    <w:basedOn w:val="12"/>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7</TotalTime>
  <ScaleCrop>false</ScaleCrop>
  <LinksUpToDate>false</LinksUpToDate>
  <CharactersWithSpaces>1574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cp:lastPrinted>2025-09-12T08:03:00Z</cp:lastPrinted>
  <dcterms:modified xsi:type="dcterms:W3CDTF">2025-09-19T02:14:11Z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2052-10.8.2.6726</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