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南京江北新区管理委员会数据局</w:t>
            </w:r>
            <w:r>
              <w:rPr>
                <w:b w:val="on"/>
                <w:rFonts w:ascii="宋体" w:eastAsia="宋体" w:hAnsi="宋体" w:cs="宋体"/>
                <w:sz w:val="52"/>
                <w:u w:color="auto"/>
              </w:rPr>
              <w:t xml:space="preserve"></w:t>
              <w:br w:type="textWrapping"/>
              <w:t>部门预算公开</w:t>
            </w:r>
            <w:r>
              <w:rPr>
                <w:b w:val="on"/>
                <w:rFonts w:ascii="宋体" w:eastAsia="宋体" w:hAnsi="宋体" w:cs="宋体"/>
                <w:sz w:val="52"/>
                <w:u w:color="auto"/>
              </w:rPr>
              <w:t/>
            </w:r>
            <w:r>
              <w:rPr>
                <w:b w:val="on"/>
                <w:rFonts w:ascii="宋体" w:eastAsia="宋体" w:hAnsi="宋体" w:cs="宋体"/>
                <w:sz w:val="52"/>
                <w:u w:color="auto"/>
              </w:rPr>
              <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部门</w:t>
      </w:r>
      <w:r>
        <w:rPr>
          <w:b w:val="on"/>
          <w:rFonts w:ascii="仿宋" w:eastAsia="仿宋" w:hAnsi="仿宋" w:cs="仿宋"/>
          <w:u w:color="auto"/>
        </w:rPr>
        <w:t>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负责统筹推进数字经济、数字社会、数字政府规划和建设工作，履行数据安全职责；统筹数据资源整合共享和开发利用，推进数据资源分类分级管理，推动公共数据资源开发利用和信息资源跨行业跨部门互联互通；牵头推进行政审批制度改革，推进“高效办成一件事”重点事项落地；统筹推进政务服务体系建设，负责政务服务综合管理、业务指导和效能监督；依法相对集中行使行政审批权；负责组织、协调、督办重点项目代办服务工作；负责公共资源交易平台建设管理及公共资源交易管理监督工作；负责“12345”政务热线、“政风热线”相关工作。</w:t>
      </w:r>
      <w:r>
        <w:rPr>
          <w:rFonts w:ascii="仿宋" w:eastAsia="仿宋" w:hAnsi="仿宋" w:cs="仿宋"/>
          <w:u w:color="auto"/>
        </w:rPr>
        <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部门</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u/>
        </w:rPr>
        <w:t>1.</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本部门内设机构包括：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综合办（政策法规办)、党建工作办（纪检监察办）、数据工作办、数据产业发展办、政务服务改革办、市场准入审批办、投资项目审批办、环境资源审批办、规划建设审批办。</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本部门下属单位包括：南京江北新区投资建设代办服务中心，南京市公共资源交易中心江北新区分中心。</w:t>
      </w:r>
      <w:r>
        <w:rPr>
          <w:rFonts w:ascii="仿宋" w:eastAsia="仿宋" w:hAnsi="仿宋" w:cs="仿宋"/>
          <w:u w:color="auto"/>
        </w:rPr>
        <w:t/>
      </w:r>
      <w:r>
        <w:rPr>
          <w:rFonts w:ascii="仿宋" w:eastAsia="仿宋" w:hAnsi="仿宋" w:cs="仿宋"/>
          <w:u w:color="auto"/>
        </w:rPr>
        <w:t/>
      </w:r>
    </w:p>
    <w:p w14:paraId="4D6F6C6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2026</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u/>
        </w:rPr>
        <w:t/>
      </w:r>
      <w:r>
        <w:rPr>
          <w:rFonts w:ascii="仿宋" w:eastAsia="仿宋" w:hAnsi="仿宋" w:cs="仿宋"/>
          <w:u w:color="auto"/>
        </w:rPr>
        <w:t/>
      </w:r>
      <w:r>
        <w:rPr>
          <w:rFonts w:ascii="仿宋" w:eastAsia="仿宋" w:hAnsi="仿宋" w:cs="仿宋"/>
          <w:u w:color="auto"/>
        </w:rPr>
        <w:t>3</w:t>
      </w:r>
      <w:r>
        <w:rPr>
          <w:rFonts w:ascii="仿宋" w:eastAsia="仿宋" w:hAnsi="仿宋" w:cs="仿宋"/>
          <w:u w:color="auto"/>
        </w:rPr>
        <w:t/>
      </w:r>
      <w:r>
        <w:rPr>
          <w:rFonts w:ascii="仿宋" w:eastAsia="仿宋" w:hAnsi="仿宋" w:cs="仿宋"/>
          <w:u w:color="auto"/>
        </w:rPr>
        <w:t/>
      </w:r>
      <w:r>
        <w:rPr>
          <w:rFonts w:hint="eastAsia" w:ascii="仿宋" w:hAnsi="仿宋" w:eastAsia="仿宋" w:cs="仿宋"/>
        </w:rPr>
        <w:t>家，具体包括：</w:t>
      </w:r>
      <w:r>
        <w:rPr>
          <w:rFonts w:hint="eastAsia" w:ascii="仿宋" w:hAnsi="仿宋" w:eastAsia="仿宋" w:cs="仿宋"/>
          <w:lang w:val="en-US"/>
          <w:u/>
        </w:rPr>
        <w:t/>
      </w:r>
      <w:r>
        <w:rPr>
          <w:rFonts w:ascii="仿宋" w:eastAsia="仿宋" w:hAnsi="仿宋" w:cs="仿宋"/>
          <w:u w:color="auto"/>
        </w:rPr>
        <w:t/>
      </w:r>
      <w:r>
        <w:rPr>
          <w:rFonts w:ascii="仿宋" w:eastAsia="仿宋" w:hAnsi="仿宋" w:cs="仿宋"/>
          <w:u w:color="auto"/>
        </w:rPr>
        <w:t>南京江北新区管理委员会行政审批局（本级），南京江北新区投资建设代办服务中心，南京市公共资源交易中心江北新区分中心。</w:t>
      </w:r>
      <w:r>
        <w:rPr>
          <w:rFonts w:ascii="仿宋" w:eastAsia="仿宋" w:hAnsi="仿宋" w:cs="仿宋"/>
          <w:u w:color="auto"/>
        </w:rPr>
        <w:t/>
      </w:r>
      <w:r>
        <w:rPr>
          <w:rFonts w:ascii="仿宋" w:eastAsia="仿宋" w:hAnsi="仿宋" w:cs="仿宋"/>
          <w:u w:color="auto"/>
        </w:rPr>
        <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部门</w:t>
      </w:r>
      <w:r>
        <w:rPr>
          <w:b w:val="on"/>
          <w:rFonts w:ascii="仿宋" w:eastAsia="仿宋" w:hAnsi="仿宋" w:cs="仿宋"/>
          <w:u w:color="auto"/>
        </w:rPr>
        <w:t>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负责贯彻落实党中央关于数据、政务服务管理、行政审批工作的方针政策以及省委、市委、新区党工委决策部署，把坚持和加强党对数据、政务服务管理、行政审批工作的领导落实到履行职责过程中。</w:t>
      </w:r>
      <w:r>
        <w:rPr>
          <w:rFonts w:ascii="仿宋" w:eastAsia="仿宋" w:hAnsi="仿宋" w:cs="仿宋"/>
          <w:u w:color="auto"/>
        </w:rPr>
        <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南京江北新区管理委员会数据局</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部门</w:t>
      </w:r>
      <w:r>
        <w:rPr>
          <w:b w:val="on"/>
          <w:rFonts w:ascii="仿宋" w:eastAsia="仿宋" w:hAnsi="仿宋" w:cs="仿宋"/>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南京江北新区管理委员会数据局</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10,177.51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9,831.83</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207.16</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138.52</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10,177.51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10,177.51</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10,177.51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10,177.51</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南京江北新区管理委员会数据局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10,177.51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10,177.51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10,177.51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南京江北新区管理委员会行政审批局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10,177.51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10,177.51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10,177.51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111001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南京江北新区管理委员会行政审批局（本级）</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8,161.88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8,161.88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8,161.88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111004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南京江北新区投资建设代办服务中心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1,063.97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1,063.97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1,063.97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111005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南京市公共资源交易中心江北新区分中心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951.66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951.66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951.66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南京江北新区管理委员会数据局</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10,177.51</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2,547.51</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7,630.00</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9,831.83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2,201.83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7,630.00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20103</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9,831.83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2,201.83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7,630.00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2010301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1,161.88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1,161.88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2010302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7,000.00</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2010350</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1,669.95</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1,039.95</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207.16</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207.16</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20805</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155.18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155.18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2089999</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155.18</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155.18</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138.52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138.52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138.52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138.52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138.52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138.52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sz w:val="22"/>
                <w:szCs w:val="22"/>
              </w:rPr>
              <w:t>南京江北新区管理委员会数据局</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10,177.51</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10,177.51</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10,177.51</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9,831.83</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207.16</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138.52</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10,177.51</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10,177.51</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南京江北新区管理委员会数据局</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10,177.51</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2,547.51</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2,365.51</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182.00</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7,630.00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9,831.83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2,201.83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2,019.83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182.00</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7,630.00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20103</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9,831.83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2,201.83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2,019.83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182.00</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7,630.00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1,161.88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1,161.88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1,045.40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116.48</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2010302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7,000.00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2010350</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1,669.95</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1,039.95</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974.43</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65.52</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207.16</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207.16</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207.16</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51.98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51.98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51.98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51.98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51.98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51.98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155.18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155.18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155.18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155.18</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155.18</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155.18</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138.52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138.52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138.52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138.52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138.52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138.52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138.52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138.52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138.52</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sz w:val="22"/>
                <w:szCs w:val="22"/>
              </w:rPr>
              <w:t>南京江北新区管理委员会数据局</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2,547.51</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2,365.51</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182.00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2,335.69</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2,335.69</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193.02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193.02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184.65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184.65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507.44</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507.44</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103.96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103.96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51.98</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51.98</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41.27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41.27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9.95</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9.95</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138.52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138.52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1,104.90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1,104.90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182.00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182.00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139.20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139.20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0.50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8.00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1.50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3.00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2.50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2.50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27.30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27.30</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29.82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29.82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27.30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27.30</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2.52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2.52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r>
              <w:rPr>
                <w:rFonts w:hint="eastAsia" w:ascii="仿宋" w:hAnsi="仿宋" w:eastAsia="仿宋" w:cs="仿宋"/>
              </w:rPr>
              <w:t/>
            </w: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南京江北新区管理委员会数据局</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10,177.51</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2,547.51</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2,365.51</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182.00</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7,630.00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9,831.83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2,201.83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2,019.83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182.00</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7,630.00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9,831.83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2,201.83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2,019.83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182.00</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7,630.00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1,161.88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1,161.88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1,045.40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116.48</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2010302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2010350</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1,669.95</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1,039.95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974.43</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65.52</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207.16</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207.16</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207.16</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155.18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155.18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155.18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155.18</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155.18</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155.18</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138.52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138.52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138.52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138.52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138.52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138.52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138.52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138.52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138.52</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南京江北新区管理委员会数据局</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2,547.51</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2,365.51</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182.00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2,335.69</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2,335.69</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193.02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193.02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184.65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184.65</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507.44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507.44</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103.96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103.96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51.98</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51.98</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41.27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41.27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9.95</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9.95</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138.52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138.52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1,104.90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1,104.90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182.00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182.00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139.20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139.20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0.50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8.00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1.50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3.00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2.50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27.30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27.30</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29.82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29.82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27.30</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27.30</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30305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2.52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2.52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r>
              <w:rPr>
                <w:rFonts w:hint="eastAsia" w:ascii="仿宋" w:hAnsi="仿宋" w:eastAsia="仿宋" w:cs="仿宋"/>
              </w:rPr>
              <w:t/>
            </w: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南京江北新区管理委员会数据局</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2.50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2.50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1.50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3.00</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南京江北新区管理委员会数据局</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部门</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南京江北新区管理委员会数据局</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部门</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南京江北新区管理委员会数据局</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116.48</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116.48</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30201</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90.38</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30211</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30216</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30217</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30228</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15.60</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南京江北新区管理委员会数据局</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188.00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188.00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南京江北新区管理委员会行政审批局（本级）</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38.00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38.00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设备购置(2026年）</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设备购置(2026年）</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综合管理保障经费（2026年）</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南京江北新区投资建设代办服务中心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办公设备采购及印刷费2026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专用材料费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办公设备采购及印刷费2026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其他商品和服务支出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南京江北新区管理委员会行政审批局（本级）</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140.00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环境资源审批业务保障经费（2026年）</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其他专业技术服务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140.00</w:t>
            </w:r>
          </w:p>
        </w:tc>
      </w:tr>
    </w:tbl>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南京江北新区管理委员会数据局2026年度收入、支出预算总计10,177.51万元，与上年相比收、支预算总计各增加154.67万元，增长1.54%。其中：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（一）收入预算总计10,177.51万元。包括：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1．本年收入合计10,177.51万元。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（1）一般公共预算拨款收入10,177.51万元，与上年相比增加154.67万元，增长1.54%。主要原因是增加了市民中心运行费用。</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（二）支出预算总计10,177.51万元。包括：</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1．本年支出合计10,177.51万元。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（1）一般公共服务支出（类）支出9,831.83万元，主要用于保障部门运行。与上年相比增加139.1万元，增长1.44%。主要原因是增加了市民中心运行费用。</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（2）社会保障和就业支出（类）支出207.16万元，主要用于单位人员社会保险支出。与上年相比增加4.75万元，增长2.35%。主要原因是单位人员社会保险增加。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（3）住房保障支出（类）支出138.52万元，主要用于单位人员住房保障支出。与上年相比增加10.82万元，增长8.47%。主要原因是单位人员住房保障增加。</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南京江北新区管理委员会数据局2026年收入预算合计10,177.51万元，包括本年收入10,177.51万元，上年结转结余0万元。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本年一般公共预算收入10,177.51万元，占100%；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南京江北新区管理委员会数据局2026年支出预算合计10,177.51万元，其中：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基本支出2,547.51万元，占25.03%；</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项目支出7,630万元，占74.97%；</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南京江北新区管理委员会数据局2026年度财政拨款收、支总预算10,177.51万元。与上年相比，财政拨款收、支总计各增加154.67万元，增长1.54%。主要原因是增加了市民中心运行费用。</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南京江北新区管理委员会数据局2026年财政拨款预算支出10,177.51万元，占本年支出合计的100%。与上年相比，财政拨款支出增加154.67万元，增长1.54%。主要原因是增加了市民中心运行费用。</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（一）一般公共服务支出（类）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1.政府办公厅（室）及相关机构事务（款）行政运行（项）支出1,161.88万元，与上年相比减少6,836.24万元，减少85.47%。主要原因是调整了一般公共预算支出功能分类。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2.政府办公厅（室）及相关机构事务（款）一般行政管理事务（项）支出7,000万元，与上年相比增加7,000万元（去年预算数为0万元，无法计算增减比率）。主要原因是调整了一般公共预算支出功能分类。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3.政府办公厅（室）及相关机构事务（款）事业运行（项）支出1,669.95万元，与上年相比减少24.66万元，减少1.46%。主要原因是缩减运行经费，节约财政开支。</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（二）社会保障和就业支出（类）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1.行政事业单位养老支出（款）机关事业单位职业年金缴费支出（项）支出51.98万元，与上年相比增加1.03万元，增长2.02%。主要原因是单位员工职业年金增长。</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2.其他社会保障和就业支出（款）其他社会保障和就业支出（项）支出155.18万元，与上年相比增加3.72万元，增长2.46%。主要原因是单位员工社保增长。</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（三）住房保障支出（类）</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住房改革支出（款）住房公积金（项）支出138.52万元，与上年相比增加10.82万元，增长8.47%。主要原因是单位员工住房公积金增长。</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南京江北新区管理委员会数据局2026年度财政拨款基本支出预算2,547.51万元，其中：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2,365.51万元。主要包括：基本工资、津贴补贴、绩效工资、机关事业单位基本养老保险缴费、职业年金缴费、职工基本医疗保险缴费、其他社会保障缴费、住房公积金、其他工资福利支出、退休费、生活补助。</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（二）公用经费182万元。主要包括：办公费、印刷费、差旅费、会议费、培训费、公务接待费、工会经费。</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南京江北新区管理委员会数据局2026年一般公共预算财政拨款支出预算10,177.51万元，与上年相比增加154.67万元，增长1.54%。主要原因是增加了市民中心运行费用。</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南京江北新区管理委员会数据局2026年度一般公共预算财政拨款基本支出预算2,547.51万元，其中：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2,365.51万元。主要包括：基本工资、津贴补贴、绩效工资、机关事业单位基本养老保险缴费、职业年金缴费、职工基本医疗保险缴费、其他社会保障缴费、住房公积金、其他工资福利支出、退休费、生活补助。</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（二）公用经费182万元。主要包括：办公费、印刷费、差旅费、会议费、培训费、公务接待费、工会经费。</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数据局2026年度一般公共预算拨款安排的“三公”经费支出预算2.5万元，与上年预算数相同。其中，因公出国（境）费支出0万元，占“三公”经费的0%；公务用车购置及运行维护费支出0万元，占“三公”经费的0%；公务接待费支出2.5万元，占“三公”经费的100%。具体情况如下：</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2．公务用车购置及运行维护费预算支出0万元。其中：</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3．公务接待费预算支出2.5万元，与上年预算数相同。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南京江北新区管理委员会数据局2026年度一般公共预算拨款安排的会议费预算支出1.5万元，与上年预算数相同。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南京江北新区管理委员会数据局2026年度一般公共预算拨款安排的培训费预算支出3万元，与上年预算数相同。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南京江北新区管理委员会数据局2026年政府性基金支出预算支出0万元。与上年预算数相同。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南京江北新区管理委员会数据局2026年国有资本经营预算支出0万元。与上年预算数相同。</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2026年本部门一般公共预算机关运行经费预算支出116.48万元，与上年相比减少2.24万元，减少1.89%。主要原因是单为一名职工退休。</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2026年度政府采购支出预算总额188万元，其中：拟采购货物支出48万元、拟采购工程支出0万元、拟采购服务支出140万元。</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部门共有车辆0辆，其中，副部（省）级及以上领导用车0辆、主要负责人用车0辆、机要通信用车0辆、应急保障用车0辆、执法执勤用车0辆、特种专业技术用车0辆、离退休干部用车0辆，其他用车0辆；单价100万元（含）以上的设备0台（套）。</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部门整体支出纳入绩效目标管理，涉及财政性资金10,177.51万元；本部门共21个项目纳入绩效目标管理，涉及财政性资金合计7,630万元，占财政性资金(人员类和运转类中的公用经费项目支出除外)总额的比例为100%。</w:t>
      </w:r>
      <w:r>
        <w:rPr>
          <w:rFonts w:ascii="仿宋" w:eastAsia="仿宋" w:hAnsi="仿宋" w:cs="仿宋"/>
          <w:u w:color="auto"/>
        </w:rPr>
        <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八、一般公共服务支出(类)政府办公厅（室）及相关机构事务(款)行政运行(项)</w:t>
      </w:r>
      <w:r>
        <w:rPr>
          <w:b w:val="on"/>
          <w:rFonts w:ascii="仿宋" w:eastAsia="仿宋" w:hAnsi="仿宋" w:cs="仿宋"/>
          <w:u w:color="auto"/>
        </w:rPr>
        <w:t>：</w:t>
      </w:r>
      <w:r>
        <w:rPr>
          <w:rFonts w:hint="eastAsia" w:ascii="仿宋" w:hAnsi="仿宋" w:eastAsia="仿宋" w:cs="仿宋"/>
        </w:rPr>
        <w:t>反映行政单位（包括实行公务员管理的事业单位）的基本支出。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九、一般公共服务支出(类)政府办公厅（室）及相关机构事务(款)一般行政管理事务(项)</w:t>
      </w:r>
      <w:r>
        <w:rPr>
          <w:b w:val="on"/>
          <w:rFonts w:ascii="仿宋" w:eastAsia="仿宋" w:hAnsi="仿宋" w:cs="仿宋"/>
          <w:u w:color="auto"/>
        </w:rPr>
        <w:t>：</w:t>
      </w:r>
      <w:r>
        <w:rPr>
          <w:rFonts w:hint="eastAsia" w:ascii="仿宋" w:hAnsi="仿宋" w:eastAsia="仿宋" w:cs="仿宋"/>
        </w:rPr>
        <w:t>反映行政单位（包括实行公务员管理的事业单位）未单独设置项级科目的其他项目支出。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十、一般公共服务支出(类)政府办公厅（室）及相关机构事务(款)事业运行(项)</w:t>
      </w:r>
      <w:r>
        <w:rPr>
          <w:b w:val="on"/>
          <w:rFonts w:ascii="仿宋" w:eastAsia="仿宋" w:hAnsi="仿宋" w:cs="仿宋"/>
          <w:u w:color="auto"/>
        </w:rPr>
        <w:t>：</w:t>
      </w:r>
      <w:r>
        <w:rPr>
          <w:rFonts w:hint="eastAsia" w:ascii="仿宋" w:hAnsi="仿宋" w:eastAsia="仿宋" w:cs="仿宋"/>
        </w:rPr>
        <w:t>反映事业单位的基本支出，不包括行政单位（包括实行公务员管理的事业单位）后勤服务中心、医务室等附属事业单位。</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十二、社会保障和就业支出(类)其他社会保障和就业支出(款)其他社会保障和就业支出(项)</w:t>
      </w:r>
      <w:r>
        <w:rPr>
          <w:b w:val="on"/>
          <w:rFonts w:ascii="仿宋" w:eastAsia="仿宋" w:hAnsi="仿宋" w:cs="仿宋"/>
          <w:u w:color="auto"/>
        </w:rPr>
        <w:t>：</w:t>
      </w:r>
      <w:r>
        <w:rPr>
          <w:rFonts w:hint="eastAsia" w:ascii="仿宋" w:hAnsi="仿宋" w:eastAsia="仿宋" w:cs="仿宋"/>
        </w:rPr>
        <w:t>反映除上述项目以外其他用于社会保障和就业方面的支出。</w:t>
      </w: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00F64">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14:paraId="405305FE">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u/>
      </w:rPr>
      <w:t>南京江北新区管理委员会数据局</w:t>
    </w:r>
    <w:r>
      <w:rPr>
        <w:u w:color="auto"/>
      </w:rPr>
      <w:t>2026</w:t>
    </w:r>
    <w:r>
      <w:rPr>
        <w:u w:color="auto"/>
      </w:rPr>
      <w:t>年度</w:t>
    </w:r>
    <w:r>
      <w:rPr>
        <w:u w:color="auto"/>
      </w:rPr>
      <w:t>部门</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细雨</cp:lastModifiedBy>
  <dcterms:modified xsi:type="dcterms:W3CDTF">2025-05-21T07:38:56Z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2052-12.1.0.21171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