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pPr>
              <w:pStyle w:val="8"/>
              <w:spacing w:line="550" w:lineRule="exact"/>
              <w:rPr>
                <w:rFonts w:hint="eastAsia" w:ascii="仿宋" w:hAnsi="仿宋" w:eastAsia="仿宋" w:cs="仿宋"/>
                <w:b/>
                <w:bCs/>
                <w:color w:val="FF0000"/>
                <w:sz w:val="22"/>
                <w:szCs w:val="2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pPr>
              <w:ind w:right="284" w:rightChars="129"/>
              <w:jc w:val="center"/>
              <w:rPr>
                <w:rFonts w:hint="eastAsia" w:ascii="仿宋" w:hAnsi="仿宋" w:eastAsia="仿宋" w:cs="仿宋"/>
                <w:b/>
                <w:bCs/>
                <w:color w:val="FF0000"/>
                <w:sz w:val="22"/>
                <w:szCs w:val="22"/>
                <w:vertAlign w:val="baseline"/>
              </w:rPr>
            </w:pPr>
            <w:r>
              <w:rPr>
                <w:rFonts w:ascii="宋体" w:hAnsi="宋体" w:eastAsia="宋体" w:cs="宋体"/>
                <w:b/>
                <w:sz w:val="52"/>
                <w:u w:color="auto"/>
              </w:rPr>
              <w:t>2026年度</w:t>
            </w:r>
            <w:r>
              <w:rPr>
                <w:rFonts w:ascii="宋体" w:hAnsi="宋体" w:eastAsia="宋体" w:cs="宋体"/>
                <w:b/>
                <w:sz w:val="52"/>
                <w:u w:color="auto"/>
              </w:rPr>
              <w:cr/>
            </w:r>
            <w:r>
              <w:rPr>
                <w:rFonts w:ascii="宋体" w:hAnsi="宋体" w:eastAsia="宋体" w:cs="宋体"/>
                <w:b/>
                <w:sz w:val="52"/>
                <w:u w:color="auto"/>
              </w:rPr>
              <w:br w:type="textWrapping"/>
            </w:r>
            <w:r>
              <w:rPr>
                <w:rFonts w:ascii="宋体" w:hAnsi="宋体" w:eastAsia="宋体" w:cs="宋体"/>
                <w:b/>
                <w:sz w:val="52"/>
                <w:u w:color="auto"/>
              </w:rPr>
              <w:t>南京江北新区管理委员会综合部</w:t>
            </w:r>
            <w:r>
              <w:rPr>
                <w:rFonts w:ascii="宋体" w:hAnsi="宋体" w:eastAsia="宋体" w:cs="宋体"/>
                <w:b/>
                <w:sz w:val="52"/>
                <w:u w:color="auto"/>
              </w:rPr>
              <w:cr/>
            </w:r>
            <w:r>
              <w:rPr>
                <w:rFonts w:ascii="宋体" w:hAnsi="宋体" w:eastAsia="宋体" w:cs="宋体"/>
                <w:b/>
                <w:sz w:val="52"/>
                <w:u w:color="auto"/>
              </w:rPr>
              <w:br w:type="textWrapping"/>
            </w:r>
            <w:r>
              <w:rPr>
                <w:rFonts w:ascii="宋体" w:hAnsi="宋体" w:eastAsia="宋体" w:cs="宋体"/>
                <w:b/>
                <w:sz w:val="52"/>
                <w:u w:color="auto"/>
              </w:rPr>
              <w:t>部门预算公开</w:t>
            </w:r>
          </w:p>
        </w:tc>
      </w:tr>
    </w:tbl>
    <w:p>
      <w:pPr>
        <w:ind w:right="284" w:rightChars="129"/>
        <w:jc w:val="both"/>
        <w:rPr>
          <w:rFonts w:hint="eastAsia" w:ascii="宋体" w:hAnsi="宋体" w:eastAsia="宋体" w:cs="宋体"/>
          <w:b/>
          <w:bCs/>
          <w:sz w:val="52"/>
          <w:szCs w:val="52"/>
        </w:rPr>
        <w:sectPr>
          <w:headerReference r:id="rId4" w:type="first"/>
          <w:headerReference r:id="rId3"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pPr>
        <w:pStyle w:val="8"/>
        <w:spacing w:before="4" w:after="0"/>
        <w:rPr>
          <w:rFonts w:ascii="华文仿宋" w:hAnsi="华文仿宋" w:eastAsia="华文仿宋" w:cs="仿宋"/>
          <w:sz w:val="10"/>
        </w:rPr>
      </w:pPr>
    </w:p>
    <w:p>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部门</w:t>
      </w:r>
      <w:r>
        <w:rPr>
          <w:rFonts w:hint="eastAsia" w:ascii="仿宋" w:hAnsi="仿宋" w:eastAsia="仿宋" w:cs="仿宋"/>
          <w:b/>
          <w:bCs/>
        </w:rPr>
        <w:t>概况</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部门</w:t>
      </w:r>
      <w:r>
        <w:rPr>
          <w:rFonts w:hint="eastAsia" w:ascii="仿宋" w:hAnsi="仿宋" w:eastAsia="仿宋" w:cs="仿宋"/>
        </w:rPr>
        <w:t>机构设置及预算单位构成情况</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部门</w:t>
      </w:r>
      <w:r>
        <w:rPr>
          <w:rFonts w:hint="eastAsia" w:ascii="仿宋" w:hAnsi="仿宋" w:eastAsia="仿宋" w:cs="仿宋"/>
        </w:rPr>
        <w:t>主要工作任务及目标</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rPr>
        <w:t>年度</w:t>
      </w:r>
      <w:r>
        <w:rPr>
          <w:rFonts w:ascii="仿宋" w:hAnsi="仿宋" w:eastAsia="仿宋" w:cs="仿宋"/>
          <w:b/>
          <w:u w:color="auto"/>
        </w:rPr>
        <w:t>部门预算表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rPr>
        <w:t>年度</w:t>
      </w:r>
      <w:r>
        <w:rPr>
          <w:rFonts w:ascii="仿宋" w:hAnsi="仿宋" w:eastAsia="仿宋" w:cs="仿宋"/>
          <w:b/>
          <w:color w:val="000000"/>
          <w:sz w:val="30"/>
          <w:u w:color="auto"/>
        </w:rPr>
        <w:t>部门</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5"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pPr>
        <w:pStyle w:val="8"/>
        <w:spacing w:before="1" w:after="0"/>
        <w:rPr>
          <w:rFonts w:ascii="华文仿宋" w:hAnsi="华文仿宋" w:eastAsia="华文仿宋" w:cs="仿宋"/>
          <w:sz w:val="14"/>
        </w:rPr>
      </w:pPr>
    </w:p>
    <w:p>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部门概况</w:t>
      </w:r>
    </w:p>
    <w:p>
      <w:pPr>
        <w:ind w:right="504" w:rightChars="229"/>
        <w:jc w:val="both"/>
        <w:rPr>
          <w:rFonts w:hint="eastAsia"/>
        </w:r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1.负责统筹协调和推进新区全面深化改革工作，协调督促新区各职能机构、平台、托管街道落实综合改革工作的决定事项、工作部署和要求。</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2.负责新区工作部署、决定事项和新区党工委、管委会领导同志批示贯彻落实情况的督促检查。</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3.负责新区党工委会议和新区召开的其他重要会议的会务准备、会议记录以及会议纪要的起草工作。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4.负责协助新区党工委、管委会领导同志组织起草或审核以新区名义发布的公文，起草新区党工委、管委会领导同志会议活动等重要文稿。</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5.围绕新区中心工作，开展重大课题调查研究工作；负责“智库”和决策咨询委员会建设。</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6.承办省、市和行政区人大、政协交新区的有关建议、提案工作。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7.负责新区对外联络和公务接待工作；负责直管区外事、港澳工作，承担有关出国（境）等外事活动的审核和承办职责。</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8.负责新区日常公文处理和直管区印鉴管理工作；负责直管区保密工作，依法履行保密行政管理职能。</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9.负责向上级机关报送重要政务信息，编印新区有关刊物，指导、考核直管区政务信息工作。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10.负责推进直管区政务公开工作，协调、监督直管区政务新媒体工作，承担政府网站和政务新媒体工作领导小组办公室的日常工作。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11.负责新区档案、地方志工作；负责直管区机关后勤保障和安全保卫工作。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12.负责新区党工委、管委会交办的其他事项。</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二、</w:t>
      </w:r>
      <w:r>
        <w:rPr>
          <w:rFonts w:ascii="仿宋" w:hAnsi="仿宋" w:eastAsia="仿宋" w:cs="仿宋"/>
          <w:b/>
          <w:u w:color="auto"/>
        </w:rPr>
        <w:t>部门</w:t>
      </w:r>
      <w:r>
        <w:rPr>
          <w:rFonts w:hint="eastAsia" w:ascii="仿宋" w:hAnsi="仿宋" w:eastAsia="仿宋" w:cs="仿宋"/>
          <w:b/>
          <w:bCs/>
        </w:rPr>
        <w:t>机构设置及预算单位构成情况</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1.</w:t>
      </w:r>
      <w:r>
        <w:rPr>
          <w:rFonts w:hint="eastAsia" w:ascii="仿宋" w:hAnsi="仿宋" w:eastAsia="仿宋" w:cs="仿宋"/>
        </w:rPr>
        <w:t>根据</w:t>
      </w:r>
      <w:r>
        <w:rPr>
          <w:rFonts w:hint="eastAsia" w:ascii="仿宋" w:hAnsi="仿宋" w:eastAsia="仿宋" w:cs="仿宋"/>
          <w:lang w:val="en-US" w:eastAsia="zh-CN"/>
        </w:rPr>
        <w:t>部门</w:t>
      </w:r>
      <w:r>
        <w:rPr>
          <w:rFonts w:hint="eastAsia" w:ascii="仿宋" w:hAnsi="仿宋" w:eastAsia="仿宋" w:cs="仿宋"/>
        </w:rPr>
        <w:t>职责分工，</w:t>
      </w:r>
      <w:r>
        <w:rPr>
          <w:rFonts w:ascii="仿宋" w:hAnsi="仿宋" w:eastAsia="仿宋" w:cs="仿宋"/>
          <w:u w:color="auto"/>
        </w:rPr>
        <w:t>本部门内设机构包括：综合办、机要与值守办、调研办、督查办、秘书办、外事办（接待办）。本部门下属单位包括：南京江北新区机关事务管理服务中心（南京江北新区档案馆）。</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2.</w:t>
      </w:r>
      <w:r>
        <w:rPr>
          <w:rFonts w:hint="eastAsia" w:ascii="仿宋" w:hAnsi="仿宋" w:eastAsia="仿宋" w:cs="仿宋"/>
        </w:rPr>
        <w:t>从</w:t>
      </w:r>
      <w:r>
        <w:rPr>
          <w:rFonts w:hint="eastAsia" w:ascii="仿宋" w:hAnsi="仿宋" w:eastAsia="仿宋" w:cs="仿宋"/>
          <w:lang w:eastAsia="zh-CN"/>
        </w:rPr>
        <w:t>预算</w:t>
      </w:r>
      <w:r>
        <w:rPr>
          <w:rFonts w:hint="eastAsia" w:ascii="仿宋" w:hAnsi="仿宋" w:eastAsia="仿宋" w:cs="仿宋"/>
        </w:rPr>
        <w:t>单位构成看，纳入本</w:t>
      </w:r>
      <w:r>
        <w:rPr>
          <w:rFonts w:hint="eastAsia" w:ascii="仿宋" w:hAnsi="仿宋" w:eastAsia="仿宋" w:cs="仿宋"/>
          <w:lang w:val="en-US" w:eastAsia="zh-CN"/>
        </w:rPr>
        <w:t>部门</w:t>
      </w:r>
      <w:r>
        <w:rPr>
          <w:rFonts w:hint="eastAsia" w:ascii="仿宋" w:hAnsi="仿宋" w:eastAsia="仿宋" w:cs="仿宋"/>
          <w:lang w:eastAsia="zh-CN"/>
        </w:rPr>
        <w:t>2026</w:t>
      </w:r>
      <w:r>
        <w:rPr>
          <w:rFonts w:hint="eastAsia" w:ascii="仿宋" w:hAnsi="仿宋" w:eastAsia="仿宋" w:cs="仿宋"/>
        </w:rPr>
        <w:t>年</w:t>
      </w:r>
      <w:r>
        <w:rPr>
          <w:rFonts w:hint="eastAsia" w:ascii="仿宋" w:hAnsi="仿宋" w:eastAsia="仿宋" w:cs="仿宋"/>
          <w:lang w:val="en-US" w:eastAsia="zh-CN"/>
        </w:rPr>
        <w:t>部门</w:t>
      </w:r>
      <w:r>
        <w:rPr>
          <w:rFonts w:hint="eastAsia" w:ascii="仿宋" w:hAnsi="仿宋" w:eastAsia="仿宋" w:cs="仿宋"/>
        </w:rPr>
        <w:t>汇总</w:t>
      </w:r>
      <w:r>
        <w:rPr>
          <w:rFonts w:hint="eastAsia" w:ascii="仿宋" w:hAnsi="仿宋" w:eastAsia="仿宋" w:cs="仿宋"/>
          <w:lang w:eastAsia="zh-CN"/>
        </w:rPr>
        <w:t>预算</w:t>
      </w:r>
      <w:r>
        <w:rPr>
          <w:rFonts w:hint="eastAsia" w:ascii="仿宋" w:hAnsi="仿宋" w:eastAsia="仿宋" w:cs="仿宋"/>
        </w:rPr>
        <w:t>编制范围的预算单位共计</w:t>
      </w:r>
      <w:r>
        <w:rPr>
          <w:rFonts w:ascii="仿宋" w:hAnsi="仿宋" w:eastAsia="仿宋" w:cs="仿宋"/>
          <w:u w:color="auto"/>
        </w:rPr>
        <w:t>2</w:t>
      </w:r>
      <w:r>
        <w:rPr>
          <w:rFonts w:hint="eastAsia" w:ascii="仿宋" w:hAnsi="仿宋" w:eastAsia="仿宋" w:cs="仿宋"/>
        </w:rPr>
        <w:t>家，具体包括：</w:t>
      </w:r>
      <w:r>
        <w:rPr>
          <w:rFonts w:ascii="仿宋" w:hAnsi="仿宋" w:eastAsia="仿宋" w:cs="仿宋"/>
          <w:u w:color="auto"/>
        </w:rPr>
        <w:t>南京江北新区管理委员会综合部（本级），南京江北新区机关事务管理服务中心（南京江北新区档案馆）。</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rPr>
        <w:t>年度</w:t>
      </w:r>
      <w:r>
        <w:rPr>
          <w:rFonts w:ascii="仿宋" w:hAnsi="仿宋" w:eastAsia="仿宋" w:cs="仿宋"/>
          <w:b/>
          <w:u w:color="auto"/>
        </w:rPr>
        <w:t>部门主要工作任务及目标</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2026年，综合部将围绕中心、服务大局，高标准谋划、高效率开展、高质量推进各项工作。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一、聚焦参谋辅政职责，在服务科学决策上提质增效。强化战略前瞻研究</w:t>
      </w:r>
      <w:r>
        <w:rPr>
          <w:rFonts w:hint="eastAsia" w:ascii="仿宋" w:hAnsi="仿宋" w:eastAsia="仿宋" w:cs="仿宋"/>
          <w:u w:color="auto"/>
          <w:lang w:eastAsia="zh-CN"/>
        </w:rPr>
        <w:t>，</w:t>
      </w:r>
      <w:r>
        <w:rPr>
          <w:rFonts w:ascii="仿宋" w:hAnsi="仿宋" w:eastAsia="仿宋" w:cs="仿宋"/>
          <w:u w:color="auto"/>
        </w:rPr>
        <w:t>紧密跟踪宏观政策走向和区域发展动态，深化与智库合作，形成一批高质量、可转化的研究成果。加强改革系统集成</w:t>
      </w:r>
      <w:r>
        <w:rPr>
          <w:rFonts w:hint="eastAsia" w:ascii="仿宋" w:hAnsi="仿宋" w:eastAsia="仿宋" w:cs="仿宋"/>
          <w:u w:color="auto"/>
          <w:lang w:eastAsia="zh-CN"/>
        </w:rPr>
        <w:t>，</w:t>
      </w:r>
      <w:r>
        <w:rPr>
          <w:rFonts w:ascii="仿宋" w:hAnsi="仿宋" w:eastAsia="仿宋" w:cs="仿宋"/>
          <w:u w:color="auto"/>
        </w:rPr>
        <w:t>谋划推进年度重点改革任务和特色改革事项，系统推进全面深化改革。细化会议活动保障流程</w:t>
      </w:r>
      <w:r>
        <w:rPr>
          <w:rFonts w:hint="eastAsia" w:ascii="仿宋" w:hAnsi="仿宋" w:eastAsia="仿宋" w:cs="仿宋"/>
          <w:u w:color="auto"/>
          <w:lang w:eastAsia="zh-CN"/>
        </w:rPr>
        <w:t>，</w:t>
      </w:r>
      <w:r>
        <w:rPr>
          <w:rFonts w:ascii="仿宋" w:hAnsi="仿宋" w:eastAsia="仿宋" w:cs="仿宋"/>
          <w:u w:color="auto"/>
        </w:rPr>
        <w:t>加强对会议活动的科学统筹，研究制定会议活动统筹保障规范，全力做好会议保障工作。</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二、聚焦重点专项工作，在提升服务效能上攻坚突破。</w:t>
      </w:r>
      <w:r>
        <w:rPr>
          <w:rFonts w:hint="eastAsia" w:ascii="仿宋" w:hAnsi="仿宋" w:eastAsia="仿宋" w:cs="仿宋"/>
          <w:u w:color="auto"/>
          <w:lang w:val="en-US" w:eastAsia="zh-CN"/>
        </w:rPr>
        <w:t>积极做好</w:t>
      </w:r>
      <w:r>
        <w:rPr>
          <w:rFonts w:ascii="仿宋" w:hAnsi="仿宋" w:eastAsia="仿宋" w:cs="仿宋"/>
          <w:u w:color="auto"/>
        </w:rPr>
        <w:t>信息工作</w:t>
      </w:r>
      <w:r>
        <w:rPr>
          <w:rFonts w:hint="eastAsia" w:ascii="仿宋" w:hAnsi="仿宋" w:eastAsia="仿宋" w:cs="仿宋"/>
          <w:u w:color="auto"/>
          <w:lang w:val="en-US" w:eastAsia="zh-CN"/>
        </w:rPr>
        <w:t>,</w:t>
      </w:r>
      <w:r>
        <w:rPr>
          <w:rFonts w:hint="eastAsia" w:ascii="Times New Roman" w:hAnsi="Times New Roman" w:eastAsia="方正仿宋_GBK"/>
          <w:sz w:val="32"/>
          <w:szCs w:val="32"/>
        </w:rPr>
        <w:t>信息报送坚持质效并重</w:t>
      </w:r>
      <w:r>
        <w:rPr>
          <w:rFonts w:ascii="仿宋" w:hAnsi="仿宋" w:eastAsia="仿宋" w:cs="仿宋"/>
          <w:u w:color="auto"/>
        </w:rPr>
        <w:t>。持续推动基层减负落到实处，</w:t>
      </w:r>
      <w:r>
        <w:rPr>
          <w:rFonts w:hint="eastAsia" w:ascii="仿宋" w:hAnsi="仿宋" w:eastAsia="仿宋" w:cs="仿宋"/>
          <w:u w:color="auto"/>
          <w:lang w:val="en-US" w:eastAsia="zh-CN"/>
        </w:rPr>
        <w:t>确保</w:t>
      </w:r>
      <w:r>
        <w:rPr>
          <w:rFonts w:ascii="仿宋" w:hAnsi="仿宋" w:eastAsia="仿宋" w:cs="仿宋"/>
          <w:u w:color="auto"/>
        </w:rPr>
        <w:t>有更多时间和精力聚焦主责主业、推动落实。全力优化机关事务管理</w:t>
      </w:r>
      <w:r>
        <w:rPr>
          <w:rFonts w:hint="eastAsia" w:ascii="仿宋" w:hAnsi="仿宋" w:eastAsia="仿宋" w:cs="仿宋"/>
          <w:u w:color="auto"/>
          <w:lang w:eastAsia="zh-CN"/>
        </w:rPr>
        <w:t>，</w:t>
      </w:r>
      <w:r>
        <w:rPr>
          <w:rFonts w:ascii="仿宋" w:hAnsi="仿宋" w:eastAsia="仿宋" w:cs="仿宋"/>
          <w:u w:color="auto"/>
        </w:rPr>
        <w:t>坚持过“紧日子”，统筹做好公车、房产、档案、后勤等管理工作，确保各项保障工作规范有序。</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ascii="仿宋" w:hAnsi="仿宋" w:eastAsia="仿宋" w:cs="仿宋"/>
          <w:u w:color="auto"/>
        </w:rPr>
        <w:t>三、聚焦队伍融合锻造，在激发实干动能上焕发活力。促进党建与业务深度融合</w:t>
      </w:r>
      <w:r>
        <w:rPr>
          <w:rFonts w:hint="eastAsia" w:ascii="仿宋" w:hAnsi="仿宋" w:eastAsia="仿宋" w:cs="仿宋"/>
          <w:u w:color="auto"/>
          <w:lang w:eastAsia="zh-CN"/>
        </w:rPr>
        <w:t>，</w:t>
      </w:r>
      <w:r>
        <w:rPr>
          <w:rFonts w:ascii="仿宋" w:hAnsi="仿宋" w:eastAsia="仿宋" w:cs="仿宋"/>
          <w:u w:color="auto"/>
        </w:rPr>
        <w:t>突出政治机关建设，加强政治能力培训，</w:t>
      </w:r>
      <w:r>
        <w:rPr>
          <w:rFonts w:hint="eastAsia" w:ascii="仿宋" w:hAnsi="仿宋" w:eastAsia="仿宋" w:cs="仿宋"/>
          <w:u w:color="auto"/>
          <w:lang w:val="en-US" w:eastAsia="zh-CN"/>
        </w:rPr>
        <w:t>提升</w:t>
      </w:r>
      <w:bookmarkStart w:id="0" w:name="_GoBack"/>
      <w:bookmarkEnd w:id="0"/>
      <w:r>
        <w:rPr>
          <w:rFonts w:ascii="仿宋" w:hAnsi="仿宋" w:eastAsia="仿宋" w:cs="仿宋"/>
          <w:u w:color="auto"/>
        </w:rPr>
        <w:t>保障中心工作的实际成效。实现人员能力优化与有效匹配</w:t>
      </w:r>
      <w:r>
        <w:rPr>
          <w:rFonts w:hint="eastAsia" w:ascii="仿宋" w:hAnsi="仿宋" w:eastAsia="仿宋" w:cs="仿宋"/>
          <w:u w:color="auto"/>
          <w:lang w:eastAsia="zh-CN"/>
        </w:rPr>
        <w:t>，</w:t>
      </w:r>
      <w:r>
        <w:rPr>
          <w:rFonts w:ascii="仿宋" w:hAnsi="仿宋" w:eastAsia="仿宋" w:cs="仿宋"/>
          <w:u w:color="auto"/>
        </w:rPr>
        <w:t>科学配置人员分工，做到人岗相适、才尽其用。狠抓纪律作风持续提升</w:t>
      </w:r>
      <w:r>
        <w:rPr>
          <w:rFonts w:hint="eastAsia" w:ascii="仿宋" w:hAnsi="仿宋" w:eastAsia="仿宋" w:cs="仿宋"/>
          <w:u w:color="auto"/>
          <w:lang w:eastAsia="zh-CN"/>
        </w:rPr>
        <w:t>，</w:t>
      </w:r>
      <w:r>
        <w:rPr>
          <w:rFonts w:ascii="仿宋" w:hAnsi="仿宋" w:eastAsia="仿宋" w:cs="仿宋"/>
          <w:u w:color="auto"/>
        </w:rPr>
        <w:t>优化内部流程，完善快速响应机制，着力锻造一支政治坚定、业务精湛、作风过硬、纪律严明的干部队伍。</w:t>
      </w:r>
    </w:p>
    <w:p>
      <w:pPr>
        <w:pStyle w:val="8"/>
        <w:spacing w:line="235" w:lineRule="auto"/>
        <w:ind w:left="669" w:leftChars="300" w:right="2414" w:hanging="9" w:firstLineChars="0"/>
        <w:jc w:val="both"/>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南京江北新区管理委员会综合部</w:t>
      </w:r>
    </w:p>
    <w:p>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rPr>
        <w:t>部门</w:t>
      </w:r>
      <w:r>
        <w:rPr>
          <w:rFonts w:ascii="仿宋" w:hAnsi="仿宋" w:eastAsia="仿宋" w:cs="仿宋"/>
          <w:b/>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tblPrEx>
          <w:tblCellMar>
            <w:top w:w="0" w:type="dxa"/>
            <w:left w:w="108" w:type="dxa"/>
            <w:bottom w:w="0" w:type="dxa"/>
            <w:right w:w="108" w:type="dxa"/>
          </w:tblCellMar>
        </w:tblPrEx>
        <w:trPr>
          <w:trHeight w:val="116" w:hRule="atLeast"/>
          <w:jc w:val="center"/>
        </w:trPr>
        <w:tc>
          <w:tcPr>
            <w:tcW w:w="11329" w:type="dxa"/>
            <w:gridSpan w:val="5"/>
            <w:vAlign w:val="center"/>
          </w:tcPr>
          <w:p>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tblPrEx>
          <w:tblCellMar>
            <w:top w:w="0" w:type="dxa"/>
            <w:left w:w="108" w:type="dxa"/>
            <w:bottom w:w="0" w:type="dxa"/>
            <w:right w:w="108" w:type="dxa"/>
          </w:tblCellMar>
        </w:tblPrEx>
        <w:trPr>
          <w:trHeight w:val="348" w:hRule="atLeast"/>
          <w:jc w:val="center"/>
        </w:trPr>
        <w:tc>
          <w:tcPr>
            <w:tcW w:w="11329" w:type="dxa"/>
            <w:gridSpan w:val="5"/>
          </w:tcPr>
          <w:p>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color w:val="000000"/>
                <w:sz w:val="22"/>
                <w:szCs w:val="22"/>
                <w:lang w:eastAsia="ar-SA"/>
              </w:rPr>
              <w:t>南京江北新区管理委员会综合部</w:t>
            </w:r>
          </w:p>
        </w:tc>
        <w:tc>
          <w:tcPr>
            <w:tcW w:w="1848" w:type="dxa"/>
            <w:gridSpan w:val="2"/>
            <w:tcBorders>
              <w:bottom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10,755.81</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10,912.53</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11,000.00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220.00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41.32</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11,000.00</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十八、援助其他地区支出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21.96</w:t>
            </w: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p>
        </w:tc>
      </w:tr>
      <w:tr>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21,975.81</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21,975.81</w:t>
            </w:r>
          </w:p>
        </w:tc>
      </w:tr>
      <w:tr>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zh-CN" w:eastAsia="ar-SA"/>
              </w:rPr>
            </w:pP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p>
        </w:tc>
      </w:tr>
      <w:tr>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21,975.81</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21,975.81</w:t>
            </w:r>
          </w:p>
        </w:tc>
      </w:tr>
    </w:tbl>
    <w:p>
      <w:pPr>
        <w:widowControl w:val="0"/>
        <w:suppressAutoHyphens/>
        <w:bidi w:val="0"/>
        <w:spacing w:before="66" w:after="0"/>
        <w:ind w:right="0"/>
        <w:jc w:val="left"/>
        <w:rPr>
          <w:rFonts w:hint="eastAsia" w:ascii="仿宋" w:hAnsi="仿宋" w:eastAsia="仿宋" w:cs="仿宋"/>
          <w:b/>
          <w:bCs/>
          <w:color w:val="000000"/>
          <w:sz w:val="22"/>
          <w:szCs w:val="22"/>
        </w:rPr>
        <w:sectPr>
          <w:footerReference r:id="rId7"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部门</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部门</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21,975.81</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21,975.81</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10,755.81</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11,000.00</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220.00</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101</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南京江北新区管理委员会综合部</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21,975.81</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21,975.81</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10,755.81</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11,000.00</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220.00</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101001</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南京江北新区管理委员会综合部（本级）</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6,632.88</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6,632.88</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618.88</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6,014.00</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101002</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南京江北新区机关事务管理服务中心（南京江北新区档案馆）</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15,342.93</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15,342.93</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10,136.93</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4,986.00</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220.00</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p>
        </w:tc>
      </w:tr>
    </w:tbl>
    <w:p>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8"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tblPrEx>
          <w:tblCellMar>
            <w:top w:w="55" w:type="dxa"/>
            <w:left w:w="55" w:type="dxa"/>
            <w:bottom w:w="55" w:type="dxa"/>
            <w:right w:w="55" w:type="dxa"/>
          </w:tblCellMar>
        </w:tblPrEx>
        <w:trPr>
          <w:trHeight w:val="341" w:hRule="atLeast"/>
        </w:trPr>
        <w:tc>
          <w:tcPr>
            <w:tcW w:w="15347" w:type="dxa"/>
            <w:gridSpan w:val="8"/>
            <w:vAlign w:val="center"/>
          </w:tcPr>
          <w:p>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tblPrEx>
          <w:tblCellMar>
            <w:top w:w="55" w:type="dxa"/>
            <w:left w:w="55" w:type="dxa"/>
            <w:bottom w:w="55" w:type="dxa"/>
            <w:right w:w="55" w:type="dxa"/>
          </w:tblCellMar>
        </w:tblPrEx>
        <w:trPr>
          <w:trHeight w:val="321" w:hRule="atLeast"/>
        </w:trPr>
        <w:tc>
          <w:tcPr>
            <w:tcW w:w="15347" w:type="dxa"/>
            <w:gridSpan w:val="8"/>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tblPrEx>
          <w:tblCellMar>
            <w:top w:w="55" w:type="dxa"/>
            <w:left w:w="55" w:type="dxa"/>
            <w:bottom w:w="55" w:type="dxa"/>
            <w:right w:w="55" w:type="dxa"/>
          </w:tblCellMar>
        </w:tblPrEx>
        <w:trPr>
          <w:trHeight w:val="218" w:hRule="atLeast"/>
        </w:trPr>
        <w:tc>
          <w:tcPr>
            <w:tcW w:w="12030" w:type="dxa"/>
            <w:gridSpan w:val="6"/>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3317" w:type="dxa"/>
            <w:gridSpan w:val="2"/>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ascii="仿宋" w:hAnsi="仿宋" w:eastAsia="仿宋" w:cs="仿宋"/>
                <w:sz w:val="22"/>
                <w:u w:color="auto"/>
              </w:rPr>
              <w:t>合计</w:t>
            </w:r>
          </w:p>
        </w:tc>
        <w:tc>
          <w:tcPr>
            <w:tcW w:w="192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21,975.81</w:t>
            </w:r>
          </w:p>
        </w:tc>
        <w:tc>
          <w:tcPr>
            <w:tcW w:w="171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1,010.81</w:t>
            </w:r>
          </w:p>
        </w:tc>
        <w:tc>
          <w:tcPr>
            <w:tcW w:w="1749"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20,965.00</w:t>
            </w:r>
          </w:p>
        </w:tc>
        <w:tc>
          <w:tcPr>
            <w:tcW w:w="186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p>
        </w:tc>
        <w:tc>
          <w:tcPr>
            <w:tcW w:w="168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p>
        </w:tc>
        <w:tc>
          <w:tcPr>
            <w:tcW w:w="163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10,912.53</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947.53</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9,965.00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20103</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10,912.53</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947.53</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9,965.00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2010301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行政运行</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445.00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2010350</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事业运行</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10,293.65</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773.65</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9,520.00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208</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41.32</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41.32</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20805</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2080506</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20899</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2089999</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212</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城乡社区支出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11,000.00</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11,000.00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21208</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国有土地使用权出让收入安排的支出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11,000.00</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11,000.00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2120803</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城市建设支出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11,000.00</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11,000.00</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22102</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2210201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p>
        </w:tc>
      </w:tr>
    </w:tbl>
    <w:p>
      <w:pPr>
        <w:widowControl w:val="0"/>
        <w:suppressAutoHyphens/>
        <w:bidi w:val="0"/>
        <w:spacing w:before="59" w:after="0"/>
        <w:ind w:left="57" w:right="0" w:firstLine="0"/>
        <w:jc w:val="left"/>
        <w:rPr>
          <w:rFonts w:hint="eastAsia" w:ascii="仿宋" w:hAnsi="仿宋" w:eastAsia="仿宋" w:cs="仿宋"/>
          <w:b/>
          <w:bCs/>
          <w:sz w:val="22"/>
          <w:szCs w:val="22"/>
        </w:rPr>
        <w:sectPr>
          <w:footerReference r:id="rId9"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tblPrEx>
          <w:tblCellMar>
            <w:top w:w="55" w:type="dxa"/>
            <w:left w:w="55" w:type="dxa"/>
            <w:bottom w:w="55" w:type="dxa"/>
            <w:right w:w="55" w:type="dxa"/>
          </w:tblCellMar>
        </w:tblPrEx>
        <w:trPr>
          <w:trHeight w:val="319" w:hRule="atLeast"/>
        </w:trPr>
        <w:tc>
          <w:tcPr>
            <w:tcW w:w="15789" w:type="dxa"/>
            <w:gridSpan w:val="4"/>
          </w:tcPr>
          <w:p>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tblPrEx>
          <w:tblCellMar>
            <w:top w:w="55" w:type="dxa"/>
            <w:left w:w="55" w:type="dxa"/>
            <w:bottom w:w="55" w:type="dxa"/>
            <w:right w:w="55" w:type="dxa"/>
          </w:tblCellMar>
        </w:tblPrEx>
        <w:trPr>
          <w:trHeight w:val="319" w:hRule="atLeast"/>
        </w:trPr>
        <w:tc>
          <w:tcPr>
            <w:tcW w:w="15789" w:type="dxa"/>
            <w:gridSpan w:val="4"/>
          </w:tcPr>
          <w:p>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tblPrEx>
          <w:tblCellMar>
            <w:top w:w="55" w:type="dxa"/>
            <w:left w:w="55" w:type="dxa"/>
            <w:bottom w:w="55" w:type="dxa"/>
            <w:right w:w="55" w:type="dxa"/>
          </w:tblCellMar>
        </w:tblPrEx>
        <w:trPr>
          <w:trHeight w:val="319" w:hRule="atLeast"/>
        </w:trPr>
        <w:tc>
          <w:tcPr>
            <w:tcW w:w="11890" w:type="dxa"/>
            <w:gridSpan w:val="3"/>
          </w:tcPr>
          <w:p>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sz w:val="22"/>
                <w:szCs w:val="22"/>
              </w:rPr>
              <w:t>南京江北新区管理委员会综合部</w:t>
            </w:r>
          </w:p>
        </w:tc>
        <w:tc>
          <w:tcPr>
            <w:tcW w:w="3899" w:type="dxa"/>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b/>
                <w:bCs/>
                <w:sz w:val="22"/>
                <w:szCs w:val="22"/>
              </w:rPr>
            </w:pPr>
            <w:r>
              <w:rPr>
                <w:rFonts w:ascii="仿宋" w:hAnsi="仿宋" w:eastAsia="仿宋" w:cs="仿宋"/>
                <w:b/>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21,755.81</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21,755.81</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10,755.81</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10,692.53</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11,000.00</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41.32</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11,000.00</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（十八）援助其他地区支出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21.96</w:t>
            </w: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p>
        </w:tc>
      </w:tr>
      <w:tr>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21,755.81</w:t>
            </w:r>
          </w:p>
        </w:tc>
        <w:tc>
          <w:tcPr>
            <w:tcW w:w="3943"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21,755.81</w:t>
            </w:r>
          </w:p>
        </w:tc>
      </w:tr>
    </w:tbl>
    <w:p>
      <w:pPr>
        <w:ind w:left="-220" w:leftChars="-100" w:firstLine="0" w:firstLineChars="0"/>
        <w:rPr>
          <w:rFonts w:hint="eastAsia" w:ascii="仿宋" w:hAnsi="仿宋" w:eastAsia="仿宋" w:cs="仿宋"/>
          <w:b/>
          <w:bCs/>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tblPrEx>
          <w:tblCellMar>
            <w:top w:w="55" w:type="dxa"/>
            <w:left w:w="55" w:type="dxa"/>
            <w:bottom w:w="55" w:type="dxa"/>
            <w:right w:w="55" w:type="dxa"/>
          </w:tblCellMar>
        </w:tblPrEx>
        <w:trPr>
          <w:trHeight w:val="321" w:hRule="atLeast"/>
        </w:trPr>
        <w:tc>
          <w:tcPr>
            <w:tcW w:w="15216" w:type="dxa"/>
            <w:gridSpan w:val="7"/>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tblPrEx>
          <w:tblCellMar>
            <w:top w:w="55" w:type="dxa"/>
            <w:left w:w="55" w:type="dxa"/>
            <w:bottom w:w="55" w:type="dxa"/>
            <w:right w:w="55" w:type="dxa"/>
          </w:tblCellMar>
        </w:tblPrEx>
        <w:trPr>
          <w:trHeight w:val="321" w:hRule="atLeast"/>
        </w:trPr>
        <w:tc>
          <w:tcPr>
            <w:tcW w:w="15216" w:type="dxa"/>
            <w:gridSpan w:val="7"/>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tblPrEx>
          <w:tblCellMar>
            <w:top w:w="55" w:type="dxa"/>
            <w:left w:w="55" w:type="dxa"/>
            <w:bottom w:w="55" w:type="dxa"/>
            <w:right w:w="55" w:type="dxa"/>
          </w:tblCellMar>
        </w:tblPrEx>
        <w:trPr>
          <w:trHeight w:val="309" w:hRule="atLeast"/>
        </w:trPr>
        <w:tc>
          <w:tcPr>
            <w:tcW w:w="13552" w:type="dxa"/>
            <w:gridSpan w:val="6"/>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1664" w:type="dxa"/>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21,755.81</w:t>
            </w:r>
          </w:p>
        </w:tc>
        <w:tc>
          <w:tcPr>
            <w:tcW w:w="1827"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1,010.81</w:t>
            </w:r>
          </w:p>
        </w:tc>
        <w:tc>
          <w:tcPr>
            <w:tcW w:w="1813"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675.85</w:t>
            </w:r>
          </w:p>
        </w:tc>
        <w:tc>
          <w:tcPr>
            <w:tcW w:w="1813"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334.96</w:t>
            </w:r>
          </w:p>
        </w:tc>
        <w:tc>
          <w:tcPr>
            <w:tcW w:w="1664" w:type="dxa"/>
            <w:tcBorders>
              <w:left w:val="single" w:color="000000" w:sz="6" w:space="0"/>
              <w:bottom w:val="single" w:color="000000" w:sz="6" w:space="0"/>
              <w:right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20,745.00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10,692.53</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947.53</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612.57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334.96</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9,745.00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20103</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10,692.53</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947.53</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612.57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334.96</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9,745.00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2010301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行政运行</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618.88</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173.88</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51.00</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122.88</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445.00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2010350</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事业运行</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10,073.65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773.65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561.57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212.08</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9,300.00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41.32</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41.32</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41.32</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20805</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10.17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10.17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10.17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2080506</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10.17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10.17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10.17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20899</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2089999</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城乡社区支出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11,000.00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11,000.00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21208</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国有土地使用权出让收入安排的支出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11,000.00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11,000.00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2120803</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城市建设支出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11,000.00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11,000.00</w:t>
            </w: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22102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2210201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21.96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p>
        </w:tc>
      </w:tr>
    </w:tbl>
    <w:p>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tblPrEx>
          <w:tblCellMar>
            <w:top w:w="55" w:type="dxa"/>
            <w:left w:w="55" w:type="dxa"/>
            <w:bottom w:w="55" w:type="dxa"/>
            <w:right w:w="55" w:type="dxa"/>
          </w:tblCellMar>
        </w:tblPrEx>
        <w:trPr>
          <w:trHeight w:val="319" w:hRule="atLeast"/>
        </w:trPr>
        <w:tc>
          <w:tcPr>
            <w:tcW w:w="10817" w:type="dxa"/>
            <w:gridSpan w:val="5"/>
            <w:vAlign w:val="center"/>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tblPrEx>
          <w:tblCellMar>
            <w:top w:w="55" w:type="dxa"/>
            <w:left w:w="55" w:type="dxa"/>
            <w:bottom w:w="55" w:type="dxa"/>
            <w:right w:w="55" w:type="dxa"/>
          </w:tblCellMar>
        </w:tblPrEx>
        <w:trPr>
          <w:trHeight w:val="319" w:hRule="atLeast"/>
        </w:trPr>
        <w:tc>
          <w:tcPr>
            <w:tcW w:w="10817" w:type="dxa"/>
            <w:gridSpan w:val="5"/>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tblPrEx>
          <w:tblCellMar>
            <w:top w:w="55" w:type="dxa"/>
            <w:left w:w="55" w:type="dxa"/>
            <w:bottom w:w="55" w:type="dxa"/>
            <w:right w:w="55" w:type="dxa"/>
          </w:tblCellMar>
        </w:tblPrEx>
        <w:trPr>
          <w:trHeight w:val="319" w:hRule="atLeast"/>
        </w:trPr>
        <w:tc>
          <w:tcPr>
            <w:tcW w:w="8760" w:type="dxa"/>
            <w:gridSpan w:val="4"/>
          </w:tcPr>
          <w:p>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sz w:val="22"/>
                <w:szCs w:val="22"/>
              </w:rPr>
              <w:t>南京江北新区管理委员会综合部</w:t>
            </w:r>
          </w:p>
        </w:tc>
        <w:tc>
          <w:tcPr>
            <w:tcW w:w="2057" w:type="dxa"/>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ascii="仿宋" w:hAnsi="仿宋" w:eastAsia="仿宋" w:cs="仿宋"/>
                <w:u w:color="auto"/>
              </w:rPr>
              <w:t>合计</w:t>
            </w:r>
          </w:p>
        </w:tc>
        <w:tc>
          <w:tcPr>
            <w:tcW w:w="204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1,010.81</w:t>
            </w:r>
          </w:p>
        </w:tc>
        <w:tc>
          <w:tcPr>
            <w:tcW w:w="204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675.85</w:t>
            </w:r>
          </w:p>
        </w:tc>
        <w:tc>
          <w:tcPr>
            <w:tcW w:w="205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334.96</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635.78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635.78</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54.10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54.10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45.05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45.05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120.05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120.05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20.34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20.34</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10.17</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8.90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8.90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1.91</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1.91</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21.96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21.96</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353.30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353.30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334.96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334.96</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11.47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11.47</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15.00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15.00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6.60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6.60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22.50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22.50</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197.12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197.12</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62.27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62.27</w:t>
            </w: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40.07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40.07</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40.07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40.07</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bl>
    <w:p>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2"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tblPrEx>
          <w:tblCellMar>
            <w:top w:w="55" w:type="dxa"/>
            <w:left w:w="55" w:type="dxa"/>
            <w:bottom w:w="55" w:type="dxa"/>
            <w:right w:w="55" w:type="dxa"/>
          </w:tblCellMar>
        </w:tblPrEx>
        <w:trPr>
          <w:trHeight w:val="321" w:hRule="atLeast"/>
        </w:trPr>
        <w:tc>
          <w:tcPr>
            <w:tcW w:w="15216" w:type="dxa"/>
            <w:gridSpan w:val="7"/>
            <w:vAlign w:val="center"/>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tblPrEx>
          <w:tblCellMar>
            <w:top w:w="55" w:type="dxa"/>
            <w:left w:w="55" w:type="dxa"/>
            <w:bottom w:w="55" w:type="dxa"/>
            <w:right w:w="55" w:type="dxa"/>
          </w:tblCellMar>
        </w:tblPrEx>
        <w:trPr>
          <w:trHeight w:val="321" w:hRule="atLeast"/>
        </w:trPr>
        <w:tc>
          <w:tcPr>
            <w:tcW w:w="15216" w:type="dxa"/>
            <w:gridSpan w:val="7"/>
          </w:tcPr>
          <w:p>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tblPrEx>
          <w:tblCellMar>
            <w:top w:w="55" w:type="dxa"/>
            <w:left w:w="55" w:type="dxa"/>
            <w:bottom w:w="55" w:type="dxa"/>
            <w:right w:w="55" w:type="dxa"/>
          </w:tblCellMar>
        </w:tblPrEx>
        <w:trPr>
          <w:trHeight w:val="288" w:hRule="atLeast"/>
        </w:trPr>
        <w:tc>
          <w:tcPr>
            <w:tcW w:w="13566" w:type="dxa"/>
            <w:gridSpan w:val="6"/>
          </w:tcPr>
          <w:p>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1650" w:type="dxa"/>
            <w:vAlign w:val="center"/>
          </w:tcPr>
          <w:p>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pPr>
              <w:widowControl w:val="0"/>
              <w:jc w:val="left"/>
              <w:rPr>
                <w:rFonts w:hint="eastAsia" w:ascii="仿宋" w:hAnsi="仿宋" w:eastAsia="仿宋" w:cs="仿宋"/>
                <w:sz w:val="22"/>
                <w:szCs w:val="22"/>
              </w:rPr>
            </w:pPr>
          </w:p>
        </w:tc>
      </w:tr>
      <w:tr>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10,755.81</w:t>
            </w:r>
          </w:p>
        </w:tc>
        <w:tc>
          <w:tcPr>
            <w:tcW w:w="1693"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1,010.81</w:t>
            </w:r>
          </w:p>
        </w:tc>
        <w:tc>
          <w:tcPr>
            <w:tcW w:w="1987"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675.85</w:t>
            </w:r>
          </w:p>
        </w:tc>
        <w:tc>
          <w:tcPr>
            <w:tcW w:w="1827"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334.96</w:t>
            </w:r>
          </w:p>
        </w:tc>
        <w:tc>
          <w:tcPr>
            <w:tcW w:w="1650" w:type="dxa"/>
            <w:tcBorders>
              <w:left w:val="single" w:color="000000" w:sz="6" w:space="0"/>
              <w:bottom w:val="single" w:color="000000" w:sz="6" w:space="0"/>
              <w:right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9,745.00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10,692.53</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947.53</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612.57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334.96</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9,745.00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20103</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10,692.53</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947.53</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612.57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334.96</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9,745.00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2010301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行政运行</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618.88</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173.88</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51.00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122.88</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445.00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2010350</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事业运行</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10,073.65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773.65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561.57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212.08</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9,300.00</w:t>
            </w: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41.32</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41.32</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41.32</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20805</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2080506</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10.17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20899</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2089999</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p>
        </w:tc>
      </w:tr>
      <w:tr>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21.96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p>
        </w:tc>
      </w:tr>
    </w:tbl>
    <w:p>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3"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tblPrEx>
          <w:tblCellMar>
            <w:top w:w="55" w:type="dxa"/>
            <w:left w:w="55" w:type="dxa"/>
            <w:bottom w:w="55" w:type="dxa"/>
            <w:right w:w="55" w:type="dxa"/>
          </w:tblCellMar>
        </w:tblPrEx>
        <w:trPr>
          <w:trHeight w:val="319" w:hRule="atLeast"/>
        </w:trPr>
        <w:tc>
          <w:tcPr>
            <w:tcW w:w="10954" w:type="dxa"/>
            <w:gridSpan w:val="5"/>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tblPrEx>
          <w:tblCellMar>
            <w:top w:w="55" w:type="dxa"/>
            <w:left w:w="55" w:type="dxa"/>
            <w:bottom w:w="55" w:type="dxa"/>
            <w:right w:w="55" w:type="dxa"/>
          </w:tblCellMar>
        </w:tblPrEx>
        <w:trPr>
          <w:trHeight w:val="189" w:hRule="atLeast"/>
        </w:trPr>
        <w:tc>
          <w:tcPr>
            <w:tcW w:w="10954" w:type="dxa"/>
            <w:gridSpan w:val="5"/>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tblPrEx>
          <w:tblCellMar>
            <w:top w:w="55" w:type="dxa"/>
            <w:left w:w="55" w:type="dxa"/>
            <w:bottom w:w="55" w:type="dxa"/>
            <w:right w:w="55" w:type="dxa"/>
          </w:tblCellMar>
        </w:tblPrEx>
        <w:trPr>
          <w:trHeight w:val="138" w:hRule="atLeast"/>
        </w:trPr>
        <w:tc>
          <w:tcPr>
            <w:tcW w:w="9281"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1673" w:type="dxa"/>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1,010.81</w:t>
            </w:r>
          </w:p>
        </w:tc>
        <w:tc>
          <w:tcPr>
            <w:tcW w:w="197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675.85</w:t>
            </w:r>
          </w:p>
        </w:tc>
        <w:tc>
          <w:tcPr>
            <w:tcW w:w="1673"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334.96</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635.78</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635.78</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54.10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54.10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45.05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45.05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绩效工资</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120.05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120.05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30108</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20.34</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20.34</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10.17</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30110</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8.90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8.90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1.91</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1.91</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21.96</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21.96</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353.30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353.30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334.96</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334.96</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30215</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11.47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11.47</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30216</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15.00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15.00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6.60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6.60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30228</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22.50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22.50</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197.12</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197.12</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62.27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62.27</w:t>
            </w: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40.07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40.07</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r>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40.07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40.07</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p>
        </w:tc>
      </w:tr>
    </w:tbl>
    <w:p>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tblPrEx>
          <w:tblCellMar>
            <w:top w:w="55" w:type="dxa"/>
            <w:left w:w="55" w:type="dxa"/>
            <w:bottom w:w="55" w:type="dxa"/>
            <w:right w:w="55" w:type="dxa"/>
          </w:tblCellMar>
        </w:tblPrEx>
        <w:trPr>
          <w:trHeight w:val="321" w:hRule="atLeast"/>
        </w:trPr>
        <w:tc>
          <w:tcPr>
            <w:tcW w:w="15909" w:type="dxa"/>
            <w:gridSpan w:val="8"/>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tblPrEx>
          <w:tblCellMar>
            <w:top w:w="55" w:type="dxa"/>
            <w:left w:w="55" w:type="dxa"/>
            <w:bottom w:w="55" w:type="dxa"/>
            <w:right w:w="55" w:type="dxa"/>
          </w:tblCellMar>
        </w:tblPrEx>
        <w:trPr>
          <w:trHeight w:val="207" w:hRule="atLeast"/>
        </w:trPr>
        <w:tc>
          <w:tcPr>
            <w:tcW w:w="15909" w:type="dxa"/>
            <w:gridSpan w:val="8"/>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3840" w:type="dxa"/>
            <w:gridSpan w:val="2"/>
            <w:tcBorders>
              <w:bottom w:val="single" w:color="auto" w:sz="4" w:space="0"/>
            </w:tcBorders>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培训费</w:t>
            </w:r>
          </w:p>
        </w:tc>
      </w:tr>
      <w:tr>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ascii="仿宋" w:hAnsi="仿宋" w:eastAsia="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r>
      <w:tr>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328.22</w:t>
            </w:r>
          </w:p>
        </w:tc>
        <w:tc>
          <w:tcPr>
            <w:tcW w:w="2332"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297.12</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100.00</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197.12</w:t>
            </w:r>
          </w:p>
        </w:tc>
        <w:tc>
          <w:tcPr>
            <w:tcW w:w="1852"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31.10</w:t>
            </w:r>
          </w:p>
        </w:tc>
        <w:tc>
          <w:tcPr>
            <w:tcW w:w="205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18.47</w:t>
            </w:r>
          </w:p>
        </w:tc>
        <w:tc>
          <w:tcPr>
            <w:tcW w:w="1783"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27.00</w:t>
            </w:r>
          </w:p>
        </w:tc>
      </w:tr>
    </w:tbl>
    <w:p>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5"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2485" w:type="dxa"/>
            <w:tcBorders>
              <w:top w:val="nil"/>
              <w:left w:val="nil"/>
              <w:bottom w:val="single" w:color="auto" w:sz="4" w:space="0"/>
              <w:right w:val="nil"/>
            </w:tcBorders>
            <w:vAlign w:val="center"/>
          </w:tcPr>
          <w:p>
            <w:pPr>
              <w:pStyle w:val="22"/>
              <w:widowControl w:val="0"/>
              <w:jc w:val="right"/>
              <w:rPr>
                <w:rFonts w:hint="eastAsia" w:ascii="仿宋" w:hAnsi="仿宋" w:eastAsia="仿宋" w:cs="仿宋"/>
              </w:rPr>
            </w:pPr>
            <w:r>
              <w:rPr>
                <w:rFonts w:hint="eastAsia" w:ascii="仿宋" w:hAnsi="仿宋" w:eastAsia="仿宋" w:cs="仿宋"/>
              </w:rPr>
              <w:t>单位：万元</w:t>
            </w:r>
          </w:p>
        </w:tc>
      </w:tr>
      <w:tr>
        <w:tblPrEx>
          <w:tblCellMar>
            <w:top w:w="55" w:type="dxa"/>
            <w:left w:w="55" w:type="dxa"/>
            <w:bottom w:w="55" w:type="dxa"/>
            <w:right w:w="55" w:type="dxa"/>
          </w:tblCellMar>
        </w:tblPrEx>
        <w:trPr>
          <w:trHeight w:val="187" w:hRule="atLeast"/>
        </w:trPr>
        <w:tc>
          <w:tcPr>
            <w:tcW w:w="1618" w:type="dxa"/>
            <w:vMerge w:val="restart"/>
            <w:tcBorders>
              <w:top w:val="single" w:color="auto" w:sz="4" w:space="0"/>
              <w:left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2834"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11,000.00</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11,000.00</w:t>
            </w:r>
          </w:p>
        </w:tc>
      </w:tr>
      <w:tr>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212</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城乡社区支出</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11,000.00</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11,000.00</w:t>
            </w:r>
          </w:p>
        </w:tc>
      </w:tr>
      <w:tr>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21208</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国有土地使用权出让收入安排的支出</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11,000.00</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11,000.00</w:t>
            </w:r>
          </w:p>
        </w:tc>
      </w:tr>
      <w:tr>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2120803</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城市建设支出</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11,000.00</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11,000.00</w:t>
            </w:r>
          </w:p>
        </w:tc>
      </w:tr>
    </w:tbl>
    <w:p>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6"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3091" w:type="dxa"/>
            <w:tcBorders>
              <w:top w:val="nil"/>
              <w:left w:val="nil"/>
              <w:bottom w:val="nil"/>
              <w:right w:val="nil"/>
            </w:tcBorders>
            <w:shd w:val="clear" w:color="auto" w:fill="auto"/>
            <w:noWrap/>
            <w:vAlign w:val="center"/>
          </w:tcPr>
          <w:p>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r>
      <w:tr>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r>
      <w:tr>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p>
        </w:tc>
      </w:tr>
    </w:tbl>
    <w:p>
      <w:pPr>
        <w:numPr>
          <w:ilvl w:val="0"/>
          <w:numId w:val="0"/>
        </w:numPr>
        <w:spacing w:before="25" w:after="0"/>
        <w:ind w:firstLine="442" w:firstLineChars="200"/>
        <w:rPr>
          <w:rFonts w:hint="default" w:ascii="仿宋" w:hAnsi="仿宋" w:eastAsia="仿宋" w:cs="仿宋"/>
          <w:b/>
          <w:bCs/>
          <w:sz w:val="22"/>
          <w:szCs w:val="22"/>
          <w:lang w:val="en-US" w:eastAsia="zh-CN"/>
        </w:rPr>
      </w:pPr>
      <w:r>
        <w:rPr>
          <w:rFonts w:ascii="仿宋" w:hAnsi="仿宋" w:eastAsia="仿宋" w:cs="仿宋"/>
          <w:b/>
          <w:sz w:val="22"/>
          <w:u w:color="auto"/>
        </w:rPr>
        <w:t>注：本部门无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rPr>
        <w:t>，故本表无数据。</w:t>
      </w:r>
    </w:p>
    <w:p>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tblPrEx>
          <w:tblCellMar>
            <w:top w:w="55" w:type="dxa"/>
            <w:left w:w="55" w:type="dxa"/>
            <w:bottom w:w="55" w:type="dxa"/>
            <w:right w:w="55" w:type="dxa"/>
          </w:tblCellMar>
        </w:tblPrEx>
        <w:trPr>
          <w:trHeight w:val="319" w:hRule="atLeast"/>
        </w:trPr>
        <w:tc>
          <w:tcPr>
            <w:tcW w:w="10235" w:type="dxa"/>
            <w:gridSpan w:val="4"/>
          </w:tcPr>
          <w:p>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tblPrEx>
          <w:tblCellMar>
            <w:top w:w="55" w:type="dxa"/>
            <w:left w:w="55" w:type="dxa"/>
            <w:bottom w:w="55" w:type="dxa"/>
            <w:right w:w="55" w:type="dxa"/>
          </w:tblCellMar>
        </w:tblPrEx>
        <w:trPr>
          <w:trHeight w:val="90" w:hRule="atLeast"/>
        </w:trPr>
        <w:tc>
          <w:tcPr>
            <w:tcW w:w="10235" w:type="dxa"/>
            <w:gridSpan w:val="4"/>
          </w:tcPr>
          <w:p>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2351" w:type="dxa"/>
            <w:tcBorders>
              <w:bottom w:val="single" w:color="auto" w:sz="4" w:space="0"/>
            </w:tcBorders>
            <w:vAlign w:val="center"/>
          </w:tcPr>
          <w:p>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122.88</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122.88</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30201</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办公费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30211</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差旅费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30215</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会议费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10.24</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30216</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培训费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12.80</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30217</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公务接待费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5.63</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30228</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工会经费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19.20</w:t>
            </w:r>
          </w:p>
        </w:tc>
      </w:tr>
      <w:tr>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30299</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55.01</w:t>
            </w:r>
          </w:p>
        </w:tc>
      </w:tr>
    </w:tbl>
    <w:p>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7"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rPr>
              <w:t>部门</w:t>
            </w:r>
            <w:r>
              <w:rPr>
                <w:rFonts w:ascii="仿宋" w:hAnsi="仿宋" w:eastAsia="仿宋" w:cs="仿宋"/>
                <w:color w:val="000000"/>
                <w:sz w:val="22"/>
                <w:u w:color="auto"/>
              </w:rPr>
              <w:t>：</w:t>
            </w:r>
            <w:r>
              <w:rPr>
                <w:rFonts w:hint="eastAsia" w:ascii="仿宋" w:hAnsi="仿宋" w:eastAsia="仿宋" w:cs="仿宋"/>
              </w:rPr>
              <w:t>南京江北新区管理委员会综合部</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178.00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106.00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南京江北新区机关事务管理服务中心（南京江北新区档案馆）</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106.00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公务用车更新购置费（2026）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其他乘用车</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公务运行保障经费（2026）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其他办公设备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公务运行保障经费（2026）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72.00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72.00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南京江北新区机关事务管理服务中心（南京江北新区档案馆）</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72.00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72.00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车辆费用定额支出1</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车辆费用定额支出1</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车辆维修和保养服务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车辆费用定额支出1</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车辆加油、添加燃料服务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40.00</w:t>
            </w:r>
          </w:p>
        </w:tc>
      </w:tr>
    </w:tbl>
    <w:p>
      <w:pPr>
        <w:bidi w:val="0"/>
        <w:rPr>
          <w:rFonts w:hint="eastAsia" w:ascii="仿宋" w:hAnsi="仿宋" w:eastAsia="仿宋" w:cs="仿宋"/>
          <w:b/>
          <w:bCs/>
          <w:sz w:val="22"/>
          <w:szCs w:val="22"/>
        </w:rPr>
        <w:sectPr>
          <w:footerReference r:id="rId18"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r>
        <w:rPr>
          <w:rFonts w:ascii="仿宋" w:hAnsi="仿宋" w:eastAsia="仿宋" w:cs="仿宋"/>
          <w:b/>
          <w:sz w:val="44"/>
          <w:u w:color="auto"/>
        </w:rPr>
        <w:t>部门</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一、收支预算总体情况说明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南京江北新区管理委员会综合部2026年度收入、支出预算总计21,975.81万元，与上年相比收、支预算总计各增加8,633.46万元，增长64.71%。其中：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（一）收入预算总计21,975.81万元。包括：</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1．本年收入合计21,975.81万元。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（1）一般公共预算拨款收入10,755.81万元，与上年相比减少2,351.54万元，减少17.94%。主要原因是项目改造费用减少。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（2）政府性基金预算拨款收入11,000万元，与上年相比增加11,000万元（去年预算数为0万元，无法计算增减比率）。主要原因是项目改造费用由一般公共预算调整至政府性基金预算。</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（3）国有资本经营预算拨款收入0万元，与上年预算数相同。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（4）财政专户管理资金收入220万元，与上年相比减少15万元，减少6.38%。主要原因是人大专项经费减少。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（5）事业收入0万元，与上年预算数相同。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（6）事业单位经营收入0万元，与上年预算数相同。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（7）上级补助收入0万元，与上年预算数相同。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（8）附属单位上缴收入0万元，与上年预算数相同。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（9）其他收入0万元，与上年预算数相同。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2．上年结转结余为0万元。与上年预算数相同。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（二）支出预算总计21,975.81万元。包括：</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1．本年支出合计21,975.81万元。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（1）一般公共服务支出（类）支出10,912.53万元，主要用于日常运行和履行本部门职能。与上年相比减少2,361.64万元，减少17.79%。主要原因是项目改造费用减少。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（2）社会保障和就业支出（类）支出41.32万元，主要用于在职人员社保费和职业年金缴费支出。与上年相比减少3.94万元，减少8.71%。主要原因是人员减少。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（3）城乡社区支出（类）支出11,000万元，主要用于项目改造。与上年相比增加11,000万元（去年预算数为0万元，无法计算增减比率）。主要原因是项目改造费用由一般公共预算调整至政府性基金预算。</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（4）住房保障支出（类）支出21.96万元，主要用于在职人员住房公积金缴费支出。与上年相比减少0.96万元，减少4.19%。主要原因是人员减少。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2．年终结转结余为0万元。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二、收入预算情况说明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南京江北新区管理委员会综合部2026年收入预算合计21,975.81万元，包括本年收入21,975.81万元，上年结转结余0万元。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本年一般公共预算收入10,755.81万元，占48.94%；</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本年政府性基金预算收入11,000万元，占50.06%；</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本年国有资本经营预算收入0万元，占0%；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本年财政专户管理资金220万元，占1%；</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本年事业收入0万元，占0%；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本年事业单位经营收入0万元，占0%；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本年上级补助收入0万元，占0%；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本年附属单位上缴收入0万元，占0%；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本年其他收入0万元，占0%；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上年结转结余的一般公共预算收入0万元，占0%；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上年结转结余的政府性基金预算收入0万元，占0%；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上年结转结余的国有资本经营预算收入0万元，占0%；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上年结转结余的财政专户管理资金0万元，占0%；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上年结转结余的单位资金0万元，占0%。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drawing>
          <wp:inline distT="0" distB="0" distL="0" distR="0">
            <wp:extent cx="6134100" cy="3429000"/>
            <wp:effectExtent l="0" t="0" r="0" b="0"/>
            <wp:docPr id="1" name="Drawing 1" descr="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1" descr="Generated"/>
                    <pic:cNvPicPr>
                      <a:picLocks noChangeAspect="1"/>
                    </pic:cNvPicPr>
                  </pic:nvPicPr>
                  <pic:blipFill>
                    <a:blip r:embed="rId20"/>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三、支出预算情况说明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南京江北新区管理委员会综合部2026年支出预算合计21,975.81万元，其中：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基本支出1,010.81万元，占4.6%；</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项目支出20,965万元，占95.4%；</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事业单位经营支出0万元，占0%；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上缴上级支出0万元，占0%；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对附属单位补助支出0万元，占0%。</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drawing>
          <wp:inline distT="0" distB="0" distL="0" distR="0">
            <wp:extent cx="6134100" cy="3429000"/>
            <wp:effectExtent l="0" t="0" r="0" b="0"/>
            <wp:docPr id="2" name="Drawing 2" descr="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descr="Generated"/>
                    <pic:cNvPicPr>
                      <a:picLocks noChangeAspect="1"/>
                    </pic:cNvPicPr>
                  </pic:nvPicPr>
                  <pic:blipFill>
                    <a:blip r:embed="rId21"/>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四、财政拨款收支预算总体情况说明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南京江北新区管理委员会综合部2026年度财政拨款收、支总预算21,755.81万元。与上年相比，财政拨款收、支总计各增加8,648.46万元，增长65.98%。主要原因是新增项目费用。</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五、财政拨款支出预算情况说明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南京江北新区管理委员会综合部2026年财政拨款预算支出21,755.81万元，占本年支出合计的99%。与上年相比，财政拨款支出增加8,648.46万元，增长65.98%。主要原因是新增项目费用。</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（一）一般公共服务支出（类）</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1.政府办公厅（室）及相关机构事务（款）行政运行（项）支出618.88万元，与上年相比减少2,104.54万元，减少77.28%。主要原因是项目改造费用减少。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2.政府办公厅（室）及相关机构事务（款）事业运行（项）支出10,073.65万元，与上年相比减少242.1万元，减少2.35%。主要原因是厉行节约，压减预算支出。</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（二）社会保障和就业支出（类）</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1.行政事业单位养老支出（款）机关事业单位职业年金缴费支出（项）支出10.17万元，与上年相比减少0.93万元，减少8.38%。主要原因是人员减少。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2.其他社会保障和就业支出（款）其他社会保障和就业支出（项）支出31.15万元，与上年相比减少3.01万元，减少8.81%。主要原因是人员减少。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（三）城乡社区支出（类）</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国有土地使用权出让收入安排的支出（款）城市建设支出（项）支出11,000万元，与上年相比增加11,000万元（去年预算数为0万元，无法计算增减比率）。主要原因是新增项目改造费用。</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（四）住房保障支出（类）</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住房改革支出（款）住房公积金（项）支出21.96万元，与上年相比减少0.96万元，减少4.19%。主要原因是人员减少。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六、财政拨款基本支出预算情况说明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南京江北新区管理委员会综合部2026年度财政拨款基本支出预算1,010.81万元，其中：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（一）人员经费675.85万元。主要包括：基本工资、津贴补贴、绩效工资、机关事业单位基本养老保险缴费、职业年金缴费、职工基本医疗保险缴费、其他社会保障缴费、住房公积金、其他工资福利支出、退休费。</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（二）公用经费334.96万元。主要包括：办公费、差旅费、会议费、培训费、公务接待费、工会经费、公务用车运行维护费、其他商品和服务支出。</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七、一般公共预算支出预算情况说明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南京江北新区管理委员会综合部2026年一般公共预算财政拨款支出预算10,755.81万元，与上年相比减少2,351.54万元，减少17.94%。主要原因是项目改造费用减少。</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八、一般公共预算基本支出预算情况说明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南京江北新区管理委员会综合部2026年度一般公共预算财政拨款基本支出预算1,010.81万元，其中：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（一）人员经费675.85万元。主要包括：基本工资、津贴补贴、绩效工资、机关事业单位基本养老保险缴费、职业年金缴费、职工基本医疗保险缴费、其他社会保障缴费、住房公积金、其他工资福利支出、退休费。</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（二）公用经费334.96万元。主要包括：办公费、差旅费、会议费、培训费、公务接待费、工会经费、公务用车运行维护费、其他商品和服务支出。</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九、一般公共预算“三公”经费、会议费、培训费支出预算情况说明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南京江北新区管理委员会综合部2026年度一般公共预算拨款安排的“三公”经费支出预算328.22万元，比上年预算减少50.59万元，变动原因</w:t>
      </w:r>
      <w:r>
        <w:rPr>
          <w:rFonts w:hint="eastAsia" w:ascii="仿宋" w:hAnsi="仿宋" w:eastAsia="仿宋" w:cs="仿宋"/>
          <w:u w:color="auto"/>
          <w:lang w:eastAsia="zh-CN"/>
        </w:rPr>
        <w:t>是</w:t>
      </w:r>
      <w:r>
        <w:rPr>
          <w:rFonts w:ascii="仿宋" w:hAnsi="仿宋" w:eastAsia="仿宋" w:cs="仿宋"/>
          <w:u w:color="auto"/>
        </w:rPr>
        <w:t>厉行节约，压减经费。其中，因公出国（境）费支出0万元，占“三公”经费的0%；公务用车购置及运行维护费支出297.12万元，占“三公”经费的90.52%；公务接待费支出31.1万元，占“三公”经费的9.48%。具体情况如下：</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1．因公出国（境）费预算支出0万元，与上年预算数相同。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2．公务用车购置及运行维护费预算支出297.12万元。其中：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（1）公务用车购置预算支出100万元，比上年预算减少50万元，主要原因是厉行节约，压减公务用车购置经费。</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（2）公务用车运行维护费预算支出197.12万元，与上年预算数相同。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3．公务接待费预算支出31.1万元，比上年预算减少0.59万元，主要原因是厉行节约，压减公务接待经费。</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南京江北新区管理委员会综合部2026年度一般公共预算拨款安排的会议费预算支出18.47万元，比上年预算减少1.11万元，主要原因是厉行节约，压减会议费。</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南京江北新区管理委员会综合部2026年度一般公共预算拨款安排的培训费预算支出27万元，比上年预算减少1.2万元，主要原因是厉行节约，压减培训费。</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十、政府性基金预算支出预算情况说明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南京江北新区管理委员会综合部2026年政府性基金支出预算支出11,000万元。与上年相比增加11,000万元（去年预算数为0万元，无法计算增减比率）。主要原因是项目改造费用由一般公共预算调整至政府性基金预算。</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其中：</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城乡社区支出（类）国有土地使用权出让收入安排的支出（款）城市建设支出（项）支出11,000万元，主要是用于项目改造。</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十一、国有资本经营预算支出预算情况说明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南京江北新区管理委员会综合部2026年国有资本经营预算支出0万元。与上年预算数相同。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十二、一般公共预算机关运行经费支出预算情况说明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2026年本部门一般公共预算机关运行经费预算支出122.88万元，与上年预算数相同。</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十三、政府采购支出预算情况说明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2026年度政府采购支出预算总额178万元，其中：拟采购货物支出106万元、拟采购工程支出0万元、拟采购服务支出72万元。</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十四、国有资产占用情况说明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本部门共有车辆88辆，其中，副部（省）级及以上领导用车0辆、主要负责人用车0辆、机要通信用车1辆、应急保障用车43辆、执法执勤用车44辆、特种专业技术用车0辆、离退休干部用车0辆，其他用车0辆；单价100万元（含）以上的设备0台（套）。</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62" w:firstLineChars="206"/>
        <w:jc w:val="both"/>
        <w:textAlignment w:val="auto"/>
        <w:rPr>
          <w:rFonts w:hint="eastAsia" w:ascii="仿宋" w:hAnsi="仿宋" w:eastAsia="仿宋" w:cs="仿宋"/>
          <w:b w:val="0"/>
          <w:bCs w:val="0"/>
          <w:lang w:val="en-US"/>
        </w:rPr>
      </w:pPr>
      <w:r>
        <w:rPr>
          <w:rFonts w:ascii="仿宋" w:hAnsi="仿宋" w:eastAsia="仿宋" w:cs="仿宋"/>
          <w:b/>
          <w:u w:color="auto"/>
        </w:rPr>
        <w:t>十五、预算绩效目标设置情况说明</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ascii="仿宋" w:hAnsi="仿宋" w:eastAsia="仿宋" w:cs="仿宋"/>
          <w:u w:color="auto"/>
        </w:rPr>
        <w:t>2026年度，本部门整体支出纳入绩效目标管理，涉及财政性资金21,975.81万元；本部门共14个项目纳入绩效目标管理，涉及财政性资金合计20,965万元，占财政性资金(人员类和运转类中的公用经费项目支出除外)总额的比例为100%。</w:t>
      </w:r>
    </w:p>
    <w:p>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一、财政拨款</w:t>
      </w:r>
      <w:r>
        <w:rPr>
          <w:rFonts w:ascii="仿宋" w:hAnsi="仿宋" w:eastAsia="仿宋" w:cs="仿宋"/>
          <w:b/>
          <w:u w:color="auto"/>
        </w:rPr>
        <w:t>：</w:t>
      </w:r>
      <w:r>
        <w:rPr>
          <w:rFonts w:hint="eastAsia" w:ascii="仿宋" w:hAnsi="仿宋" w:eastAsia="仿宋" w:cs="仿宋"/>
        </w:rPr>
        <w:t>单位从同级财政部门取得的各类财政拨款，包括一般公共预算拨款、政府性基金预算拨款、国有资本经营预算拨款。</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二、财政专户管理资金</w:t>
      </w:r>
      <w:r>
        <w:rPr>
          <w:rFonts w:ascii="仿宋" w:hAnsi="仿宋" w:eastAsia="仿宋" w:cs="仿宋"/>
          <w:b/>
          <w:u w:color="auto"/>
        </w:rPr>
        <w:t>：</w:t>
      </w:r>
      <w:r>
        <w:rPr>
          <w:rFonts w:hint="eastAsia" w:ascii="仿宋" w:hAnsi="仿宋" w:eastAsia="仿宋" w:cs="仿宋"/>
        </w:rPr>
        <w:t>缴入财政专户、实行专项管理的高中以上学费、住宿费、高校委托培养费、函大、电大、夜大及短训班培训费等教育收费。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三、单位资金</w:t>
      </w:r>
      <w:r>
        <w:rPr>
          <w:rFonts w:ascii="仿宋" w:hAnsi="仿宋" w:eastAsia="仿宋" w:cs="仿宋"/>
          <w:b/>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四、基本支出</w:t>
      </w:r>
      <w:r>
        <w:rPr>
          <w:rFonts w:ascii="仿宋" w:hAnsi="仿宋" w:eastAsia="仿宋" w:cs="仿宋"/>
          <w:b/>
          <w:u w:color="auto"/>
        </w:rPr>
        <w:t>：</w:t>
      </w:r>
      <w:r>
        <w:rPr>
          <w:rFonts w:hint="eastAsia" w:ascii="仿宋" w:hAnsi="仿宋" w:eastAsia="仿宋" w:cs="仿宋"/>
        </w:rPr>
        <w:t>指为保障机构正常运转、完成工作任务而发生的人员支出和公用支出。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五、项目支出</w:t>
      </w:r>
      <w:r>
        <w:rPr>
          <w:rFonts w:ascii="仿宋" w:hAnsi="仿宋" w:eastAsia="仿宋" w:cs="仿宋"/>
          <w:b/>
          <w:u w:color="auto"/>
        </w:rPr>
        <w:t>：</w:t>
      </w:r>
      <w:r>
        <w:rPr>
          <w:rFonts w:hint="eastAsia" w:ascii="仿宋" w:hAnsi="仿宋" w:eastAsia="仿宋" w:cs="仿宋"/>
        </w:rPr>
        <w:t>指在基本支出之外为完成特定工作任务和事业发展目标所发生的支出。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六、“三公”经费</w:t>
      </w:r>
      <w:r>
        <w:rPr>
          <w:rFonts w:ascii="仿宋" w:hAnsi="仿宋" w:eastAsia="仿宋" w:cs="仿宋"/>
          <w:b/>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七、机关运行经费</w:t>
      </w:r>
      <w:r>
        <w:rPr>
          <w:rFonts w:ascii="仿宋" w:hAnsi="仿宋" w:eastAsia="仿宋" w:cs="仿宋"/>
          <w:b/>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八、一般公共服务支出(类)政府办公厅（室）及相关机构事务(款)行政运行(项)</w:t>
      </w:r>
      <w:r>
        <w:rPr>
          <w:rFonts w:ascii="仿宋" w:hAnsi="仿宋" w:eastAsia="仿宋" w:cs="仿宋"/>
          <w:b/>
          <w:u w:color="auto"/>
        </w:rPr>
        <w:t>：</w:t>
      </w:r>
      <w:r>
        <w:rPr>
          <w:rFonts w:hint="eastAsia" w:ascii="仿宋" w:hAnsi="仿宋" w:eastAsia="仿宋" w:cs="仿宋"/>
        </w:rPr>
        <w:t>反映行政单位（包括实行公务员管理的事业单位）的基本支出。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九、一般公共服务支出(类)政府办公厅（室）及相关机构事务(款)事业运行(项)</w:t>
      </w:r>
      <w:r>
        <w:rPr>
          <w:rFonts w:ascii="仿宋" w:hAnsi="仿宋" w:eastAsia="仿宋" w:cs="仿宋"/>
          <w:b/>
          <w:u w:color="auto"/>
        </w:rPr>
        <w:t>：</w:t>
      </w:r>
      <w:r>
        <w:rPr>
          <w:rFonts w:hint="eastAsia" w:ascii="仿宋" w:hAnsi="仿宋" w:eastAsia="仿宋" w:cs="仿宋"/>
        </w:rPr>
        <w:t>反映事业单位的基本支出，不包括行政单位（包括实行公务员管理的事业单位）后勤服务中心、医务室等附属事业单位。</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十、社会保障和就业支出(类)行政事业单位养老支出(款)机关事业单位职业年金缴费支出(项)</w:t>
      </w:r>
      <w:r>
        <w:rPr>
          <w:rFonts w:ascii="仿宋" w:hAnsi="仿宋" w:eastAsia="仿宋" w:cs="仿宋"/>
          <w:b/>
          <w:u w:color="auto"/>
        </w:rPr>
        <w:t>：</w:t>
      </w:r>
      <w:r>
        <w:rPr>
          <w:rFonts w:hint="eastAsia" w:ascii="仿宋" w:hAnsi="仿宋" w:eastAsia="仿宋" w:cs="仿宋"/>
        </w:rPr>
        <w:t>反映机关事业单位实施养老保险制度由单位实际缴纳的职业年金支出（含职业年金补记支出）。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十一、社会保障和就业支出(类)其他社会保障和就业支出(款)其他社会保障和就业支出(项)</w:t>
      </w:r>
      <w:r>
        <w:rPr>
          <w:rFonts w:ascii="仿宋" w:hAnsi="仿宋" w:eastAsia="仿宋" w:cs="仿宋"/>
          <w:b/>
          <w:u w:color="auto"/>
        </w:rPr>
        <w:t>：</w:t>
      </w:r>
      <w:r>
        <w:rPr>
          <w:rFonts w:hint="eastAsia" w:ascii="仿宋" w:hAnsi="仿宋" w:eastAsia="仿宋" w:cs="仿宋"/>
        </w:rPr>
        <w:t>反映除上述项目以外其他用于社会保障和就业方面的支出。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十二、城乡社区支出(类)国有土地使用权出让收入安排的支出(款)城市建设支出(项)</w:t>
      </w:r>
      <w:r>
        <w:rPr>
          <w:rFonts w:ascii="仿宋" w:hAnsi="仿宋" w:eastAsia="仿宋" w:cs="仿宋"/>
          <w:b/>
          <w:u w:color="auto"/>
        </w:rPr>
        <w:t>：</w:t>
      </w:r>
      <w:r>
        <w:rPr>
          <w:rFonts w:hint="eastAsia" w:ascii="仿宋" w:hAnsi="仿宋" w:eastAsia="仿宋" w:cs="仿宋"/>
        </w:rPr>
        <w:t>反映土地出让收入用于完善国有土地使用功能的配套设施建设和城市基础设施建设支出。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十三、住房保障支出(类)住房改革支出(款)住房公积金(项)</w:t>
      </w:r>
      <w:r>
        <w:rPr>
          <w:rFonts w:ascii="仿宋" w:hAnsi="仿宋" w:eastAsia="仿宋" w:cs="仿宋"/>
          <w:b/>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000000" w:sz="4" w:space="1"/>
      </w:pBdr>
      <w:jc w:val="both"/>
      <w:rPr>
        <w:rFonts w:hint="default" w:eastAsia="Arial Unicode MS"/>
        <w:lang w:val="en-US" w:eastAsia="zh-CN"/>
      </w:rPr>
    </w:pPr>
    <w:r>
      <w:rPr>
        <w:rFonts w:hint="eastAsia"/>
        <w:lang w:val="en-US" w:eastAsia="zh-CN"/>
      </w:rPr>
      <w:t>南京江北新区管理委员会综合部</w:t>
    </w:r>
    <w:r>
      <w:rPr>
        <w:u w:color="auto"/>
      </w:rPr>
      <w:t>2026年度部门预算公开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87432"/>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35271"/>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1C13A4"/>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2FF38C3"/>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1684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06239"/>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0957E6"/>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AD7B71"/>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930BA1"/>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1438D0"/>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9C562C"/>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3</TotalTime>
  <ScaleCrop>false</ScaleCrop>
  <LinksUpToDate>false</LinksUpToDate>
  <CharactersWithSpaces>6554</CharactersWithSpaces>
  <Application>WPS Office_11.8.2.9067_F1E327BC-269C-435d-A152-05C5408002CA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2021-04-16T03:22:00Z</dcterms:created>
  <dc:creator>陈长军(本处室套红)</dc:creator>
  <cp:lastModifiedBy>Administrator</cp:lastModifiedBy>
  <dcterms:modified xsi:type="dcterms:W3CDTF">2026-02-14T01:41:16Z</dcterms:modified>
  <dc:title>部门预算公开</dc:title>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2052-11.8.2.9067</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