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CD" w:rsidRDefault="00833ECD" w:rsidP="00833ECD">
      <w:pPr>
        <w:spacing w:afterLines="50" w:after="156"/>
        <w:ind w:firstLineChars="0" w:firstLine="0"/>
        <w:jc w:val="left"/>
        <w:rPr>
          <w:rFonts w:cs="Times New Roman"/>
          <w:color w:val="000000" w:themeColor="text1"/>
          <w:szCs w:val="44"/>
        </w:rPr>
      </w:pPr>
      <w:r>
        <w:rPr>
          <w:rFonts w:ascii="仿宋" w:hAnsi="仿宋" w:hint="eastAsia"/>
          <w:color w:val="000000" w:themeColor="text1"/>
          <w:szCs w:val="44"/>
        </w:rPr>
        <w:t>附件</w:t>
      </w:r>
      <w:r>
        <w:rPr>
          <w:rFonts w:cs="Times New Roman"/>
          <w:color w:val="000000" w:themeColor="text1"/>
          <w:szCs w:val="44"/>
        </w:rPr>
        <w:t>1</w:t>
      </w:r>
    </w:p>
    <w:p w:rsidR="00833ECD" w:rsidRPr="00833ECD" w:rsidRDefault="00833ECD" w:rsidP="00833ECD">
      <w:pPr>
        <w:snapToGrid w:val="0"/>
        <w:spacing w:line="324" w:lineRule="auto"/>
        <w:ind w:firstLineChars="0" w:firstLine="0"/>
        <w:jc w:val="center"/>
        <w:rPr>
          <w:rFonts w:ascii="方正小标宋_GBK" w:eastAsia="方正小标宋_GBK" w:cs="Times New Roman" w:hint="eastAsia"/>
          <w:sz w:val="44"/>
          <w:szCs w:val="44"/>
        </w:rPr>
      </w:pPr>
      <w:r w:rsidRPr="00833ECD">
        <w:rPr>
          <w:rFonts w:ascii="方正小标宋_GBK" w:eastAsia="方正小标宋_GBK" w:cs="Times New Roman" w:hint="eastAsia"/>
          <w:sz w:val="44"/>
          <w:szCs w:val="44"/>
        </w:rPr>
        <w:t>2026全国颠覆性技术创新大赛工作方案</w:t>
      </w:r>
    </w:p>
    <w:p w:rsidR="00833ECD" w:rsidRDefault="00833ECD" w:rsidP="00833ECD">
      <w:pPr>
        <w:snapToGrid w:val="0"/>
        <w:spacing w:beforeLines="100" w:before="312" w:line="324" w:lineRule="auto"/>
        <w:ind w:firstLine="640"/>
      </w:pPr>
      <w:r>
        <w:rPr>
          <w:rFonts w:hint="eastAsia"/>
        </w:rPr>
        <w:t>全国颠覆性技术创新大赛（简称“大赛”）是颠覆性技术创新重点专项（简称“专项”）的重要项目发</w:t>
      </w:r>
      <w:bookmarkStart w:id="0" w:name="_GoBack"/>
      <w:bookmarkEnd w:id="0"/>
      <w:r>
        <w:rPr>
          <w:rFonts w:hint="eastAsia"/>
        </w:rPr>
        <w:t>现渠道，坚持创新不问出身、英雄不论出处的原则，广泛选拔和加速培育颠覆主流技术和重塑竞争格局的战略技术，把握创新主动权、发展主动权。</w:t>
      </w:r>
    </w:p>
    <w:p w:rsidR="00833ECD" w:rsidRDefault="00833ECD" w:rsidP="00833ECD">
      <w:pPr>
        <w:pStyle w:val="a7"/>
        <w:numPr>
          <w:ilvl w:val="0"/>
          <w:numId w:val="1"/>
        </w:numPr>
        <w:snapToGrid w:val="0"/>
        <w:spacing w:line="324" w:lineRule="auto"/>
        <w:rPr>
          <w:rFonts w:ascii="黑体" w:eastAsia="黑体" w:hAnsi="黑体"/>
        </w:rPr>
      </w:pPr>
      <w:r>
        <w:rPr>
          <w:rFonts w:ascii="黑体" w:eastAsia="黑体" w:hAnsi="黑体" w:hint="eastAsia"/>
        </w:rPr>
        <w:t>大赛宗旨</w:t>
      </w:r>
    </w:p>
    <w:p w:rsidR="00833ECD" w:rsidRDefault="00833ECD" w:rsidP="00833ECD">
      <w:pPr>
        <w:snapToGrid w:val="0"/>
        <w:spacing w:line="324" w:lineRule="auto"/>
        <w:ind w:firstLine="640"/>
      </w:pPr>
      <w:bookmarkStart w:id="1" w:name="_Hlk176521878"/>
      <w:r>
        <w:rPr>
          <w:rFonts w:hint="eastAsia"/>
        </w:rPr>
        <w:t>以习近平新时代中国特色社会主义思想为指导，贯彻落实国家关于加强颠覆性技术创新决策部署，</w:t>
      </w:r>
      <w:bookmarkEnd w:id="1"/>
      <w:r>
        <w:rPr>
          <w:rFonts w:hint="eastAsia"/>
        </w:rPr>
        <w:t>开放式选拔和培育战略价值突出、技术突破显著的颠覆性技术，对主流技术进行跨越式革新或对“无人区”进行开创性探索，催生新产业、新模式、新动能，抢先机、开赛道、占高地、强基业。</w:t>
      </w:r>
    </w:p>
    <w:p w:rsidR="00833ECD" w:rsidRDefault="00833ECD" w:rsidP="00833ECD">
      <w:pPr>
        <w:pStyle w:val="a7"/>
        <w:numPr>
          <w:ilvl w:val="0"/>
          <w:numId w:val="1"/>
        </w:numPr>
        <w:snapToGrid w:val="0"/>
        <w:spacing w:line="324" w:lineRule="auto"/>
        <w:rPr>
          <w:rFonts w:ascii="黑体" w:eastAsia="黑体" w:hAnsi="黑体"/>
        </w:rPr>
      </w:pPr>
      <w:r>
        <w:rPr>
          <w:rFonts w:ascii="黑体" w:eastAsia="黑体" w:hAnsi="黑体" w:hint="eastAsia"/>
        </w:rPr>
        <w:t>组织机构</w:t>
      </w:r>
    </w:p>
    <w:p w:rsidR="00833ECD" w:rsidRDefault="00833ECD" w:rsidP="00833ECD">
      <w:pPr>
        <w:pStyle w:val="a7"/>
        <w:numPr>
          <w:ilvl w:val="1"/>
          <w:numId w:val="2"/>
        </w:numPr>
        <w:snapToGrid w:val="0"/>
        <w:spacing w:line="324" w:lineRule="auto"/>
        <w:rPr>
          <w:rFonts w:ascii="楷体" w:eastAsia="楷体" w:hAnsi="楷体"/>
        </w:rPr>
      </w:pPr>
      <w:r>
        <w:rPr>
          <w:rFonts w:ascii="楷体" w:eastAsia="楷体" w:hAnsi="楷体" w:hint="eastAsia"/>
        </w:rPr>
        <w:t>参与单位</w:t>
      </w:r>
    </w:p>
    <w:p w:rsidR="00833ECD" w:rsidRDefault="00833ECD" w:rsidP="00833ECD">
      <w:pPr>
        <w:snapToGrid w:val="0"/>
        <w:spacing w:line="324" w:lineRule="auto"/>
        <w:ind w:firstLine="640"/>
      </w:pPr>
      <w:r>
        <w:rPr>
          <w:rFonts w:hint="eastAsia"/>
        </w:rPr>
        <w:t>主办单位：京津冀国家技术创新中心</w:t>
      </w:r>
    </w:p>
    <w:p w:rsidR="00833ECD" w:rsidRDefault="00833ECD" w:rsidP="00833ECD">
      <w:pPr>
        <w:snapToGrid w:val="0"/>
        <w:spacing w:line="324" w:lineRule="auto"/>
        <w:ind w:firstLine="640"/>
      </w:pPr>
      <w:r>
        <w:rPr>
          <w:rFonts w:hint="eastAsia"/>
        </w:rPr>
        <w:t>承办单位：上海颠覆性技术创新中心、广州颠覆性技术创新中心、黄埔创新学院</w:t>
      </w:r>
    </w:p>
    <w:p w:rsidR="00833ECD" w:rsidRDefault="00833ECD" w:rsidP="00833ECD">
      <w:pPr>
        <w:pStyle w:val="a7"/>
        <w:numPr>
          <w:ilvl w:val="1"/>
          <w:numId w:val="2"/>
        </w:numPr>
        <w:snapToGrid w:val="0"/>
        <w:spacing w:line="324" w:lineRule="auto"/>
        <w:rPr>
          <w:rFonts w:ascii="楷体" w:eastAsia="楷体" w:hAnsi="楷体"/>
        </w:rPr>
      </w:pPr>
      <w:r>
        <w:rPr>
          <w:rFonts w:ascii="楷体" w:eastAsia="楷体" w:hAnsi="楷体" w:hint="eastAsia"/>
        </w:rPr>
        <w:t>组织委员会</w:t>
      </w:r>
    </w:p>
    <w:p w:rsidR="00833ECD" w:rsidRDefault="00833ECD" w:rsidP="00833ECD">
      <w:pPr>
        <w:snapToGrid w:val="0"/>
        <w:spacing w:line="324" w:lineRule="auto"/>
        <w:ind w:firstLine="640"/>
      </w:pPr>
      <w:r>
        <w:rPr>
          <w:rFonts w:hint="eastAsia"/>
        </w:rPr>
        <w:t>主办单位、承办单位等共同组成大赛组织委员会</w:t>
      </w:r>
      <w:bookmarkStart w:id="2" w:name="_Hlk167604074"/>
      <w:r>
        <w:rPr>
          <w:rFonts w:hint="eastAsia"/>
        </w:rPr>
        <w:t>（简称“组委会”）</w:t>
      </w:r>
      <w:bookmarkEnd w:id="2"/>
      <w:r>
        <w:rPr>
          <w:rFonts w:hint="eastAsia"/>
        </w:rPr>
        <w:t>，负责研究和决定大赛相关重大事项，统筹推进大赛举办工作。组委会办公室设在京津冀国家技术创新中心，负责组织大赛各项具体工作，办公室依托承办单位设若干工</w:t>
      </w:r>
      <w:r>
        <w:rPr>
          <w:rFonts w:hint="eastAsia"/>
        </w:rPr>
        <w:lastRenderedPageBreak/>
        <w:t>作组。</w:t>
      </w:r>
    </w:p>
    <w:p w:rsidR="00833ECD" w:rsidRDefault="00833ECD" w:rsidP="00833ECD">
      <w:pPr>
        <w:pStyle w:val="a7"/>
        <w:numPr>
          <w:ilvl w:val="1"/>
          <w:numId w:val="2"/>
        </w:numPr>
        <w:snapToGrid w:val="0"/>
        <w:spacing w:line="324" w:lineRule="auto"/>
        <w:rPr>
          <w:rFonts w:ascii="楷体" w:eastAsia="楷体" w:hAnsi="楷体"/>
        </w:rPr>
      </w:pPr>
      <w:r>
        <w:rPr>
          <w:rFonts w:ascii="楷体" w:eastAsia="楷体" w:hAnsi="楷体" w:hint="eastAsia"/>
        </w:rPr>
        <w:t>赛区执行委员会</w:t>
      </w:r>
    </w:p>
    <w:p w:rsidR="00833ECD" w:rsidRDefault="00833ECD" w:rsidP="00833ECD">
      <w:pPr>
        <w:snapToGrid w:val="0"/>
        <w:spacing w:line="324" w:lineRule="auto"/>
        <w:ind w:firstLine="640"/>
      </w:pPr>
      <w:r>
        <w:rPr>
          <w:rFonts w:hint="eastAsia"/>
        </w:rPr>
        <w:t>组委会根据实际情况设立若干赛区分别进行比赛，各赛区设执行委员会（简称“执委会”），负责组织赛区赛事工作。</w:t>
      </w:r>
    </w:p>
    <w:p w:rsidR="00833ECD" w:rsidRDefault="00833ECD" w:rsidP="00833ECD">
      <w:pPr>
        <w:pStyle w:val="a7"/>
        <w:numPr>
          <w:ilvl w:val="0"/>
          <w:numId w:val="1"/>
        </w:numPr>
        <w:snapToGrid w:val="0"/>
        <w:spacing w:line="324" w:lineRule="auto"/>
        <w:rPr>
          <w:rFonts w:ascii="黑体" w:eastAsia="黑体" w:hAnsi="黑体"/>
        </w:rPr>
      </w:pPr>
      <w:r>
        <w:rPr>
          <w:rFonts w:ascii="黑体" w:eastAsia="黑体" w:hAnsi="黑体" w:hint="eastAsia"/>
        </w:rPr>
        <w:t>参赛要求</w:t>
      </w:r>
    </w:p>
    <w:p w:rsidR="00833ECD" w:rsidRDefault="00833ECD" w:rsidP="00833ECD">
      <w:pPr>
        <w:pStyle w:val="a7"/>
        <w:numPr>
          <w:ilvl w:val="0"/>
          <w:numId w:val="3"/>
        </w:numPr>
        <w:snapToGrid w:val="0"/>
        <w:spacing w:line="324" w:lineRule="auto"/>
        <w:rPr>
          <w:rFonts w:ascii="楷体" w:eastAsia="楷体" w:hAnsi="楷体"/>
        </w:rPr>
      </w:pPr>
      <w:r>
        <w:rPr>
          <w:rFonts w:ascii="楷体" w:eastAsia="楷体" w:hAnsi="楷体" w:hint="eastAsia"/>
        </w:rPr>
        <w:t>参赛单位要求</w:t>
      </w:r>
    </w:p>
    <w:p w:rsidR="00833ECD" w:rsidRDefault="00833ECD" w:rsidP="00833ECD">
      <w:pPr>
        <w:snapToGrid w:val="0"/>
        <w:spacing w:line="324" w:lineRule="auto"/>
        <w:ind w:firstLine="640"/>
      </w:pPr>
      <w:r>
        <w:rPr>
          <w:rFonts w:hint="eastAsia"/>
        </w:rPr>
        <w:t>参赛</w:t>
      </w:r>
      <w:r>
        <w:t>单位应为中国大陆境内</w:t>
      </w:r>
      <w:r>
        <w:rPr>
          <w:rFonts w:hint="eastAsia"/>
        </w:rPr>
        <w:t>及香港、澳门</w:t>
      </w:r>
      <w:r>
        <w:t>注册的科研院所、高等学校和企业等</w:t>
      </w:r>
      <w:r>
        <w:rPr>
          <w:rFonts w:hint="eastAsia"/>
        </w:rPr>
        <w:t>，</w:t>
      </w:r>
      <w:r>
        <w:t>应具有独立法人资格</w:t>
      </w:r>
      <w:r>
        <w:rPr>
          <w:rFonts w:hint="eastAsia"/>
        </w:rPr>
        <w:t>；</w:t>
      </w:r>
      <w:r>
        <w:t>有较强的科研能力和条件，运行管理规范</w:t>
      </w:r>
      <w:r>
        <w:rPr>
          <w:rFonts w:hint="eastAsia"/>
        </w:rPr>
        <w:t>；</w:t>
      </w:r>
      <w:r>
        <w:t>诚信状况良好，无在惩戒执行期内的科研严重失信行为记录和相关社会领域</w:t>
      </w:r>
      <w:r>
        <w:rPr>
          <w:rFonts w:ascii="仿宋" w:hAnsi="仿宋" w:hint="eastAsia"/>
        </w:rPr>
        <w:t>信用</w:t>
      </w:r>
      <w:r>
        <w:rPr>
          <w:rFonts w:ascii="仿宋" w:hAnsi="仿宋"/>
        </w:rPr>
        <w:t>“</w:t>
      </w:r>
      <w:r>
        <w:rPr>
          <w:rFonts w:ascii="仿宋" w:hAnsi="仿宋" w:hint="eastAsia"/>
        </w:rPr>
        <w:t>黑名单</w:t>
      </w:r>
      <w:r>
        <w:rPr>
          <w:rFonts w:ascii="仿宋" w:hAnsi="仿宋"/>
        </w:rPr>
        <w:t>”</w:t>
      </w:r>
      <w:r>
        <w:rPr>
          <w:rFonts w:ascii="仿宋" w:hAnsi="仿宋" w:hint="eastAsia"/>
        </w:rPr>
        <w:t>记</w:t>
      </w:r>
      <w:r>
        <w:t>录</w:t>
      </w:r>
      <w:r>
        <w:rPr>
          <w:rFonts w:hint="eastAsia"/>
        </w:rPr>
        <w:t>；签署参赛承诺书，遵守大赛相关规定和要求。</w:t>
      </w:r>
    </w:p>
    <w:p w:rsidR="00833ECD" w:rsidRDefault="00833ECD" w:rsidP="00833ECD">
      <w:pPr>
        <w:snapToGrid w:val="0"/>
        <w:spacing w:line="324" w:lineRule="auto"/>
        <w:ind w:firstLine="640"/>
      </w:pPr>
      <w:r>
        <w:t>项目负责人无</w:t>
      </w:r>
      <w:r>
        <w:rPr>
          <w:rFonts w:hint="eastAsia"/>
        </w:rPr>
        <w:t>学历、职称、</w:t>
      </w:r>
      <w:r>
        <w:t>年龄限制，</w:t>
      </w:r>
      <w:r>
        <w:rPr>
          <w:rFonts w:hint="eastAsia"/>
        </w:rPr>
        <w:t>但应具有与项目任务要求相匹配的能力与精力，项目负责人应</w:t>
      </w:r>
      <w:r>
        <w:t>为该项目主体研究思路的提出者和实际主持研究的科技人员</w:t>
      </w:r>
      <w:r>
        <w:rPr>
          <w:rFonts w:hint="eastAsia"/>
        </w:rPr>
        <w:t>，</w:t>
      </w:r>
      <w:r>
        <w:t>港澳</w:t>
      </w:r>
      <w:r>
        <w:rPr>
          <w:rFonts w:hint="eastAsia"/>
        </w:rPr>
        <w:t>地区参赛</w:t>
      </w:r>
      <w:r>
        <w:t>人员应爱国爱港、爱国爱澳。</w:t>
      </w:r>
    </w:p>
    <w:p w:rsidR="00833ECD" w:rsidRDefault="00833ECD" w:rsidP="00833ECD">
      <w:pPr>
        <w:pStyle w:val="a7"/>
        <w:numPr>
          <w:ilvl w:val="0"/>
          <w:numId w:val="3"/>
        </w:numPr>
        <w:snapToGrid w:val="0"/>
        <w:spacing w:line="324" w:lineRule="auto"/>
        <w:rPr>
          <w:rFonts w:ascii="楷体" w:eastAsia="楷体" w:hAnsi="楷体"/>
        </w:rPr>
      </w:pPr>
      <w:r>
        <w:rPr>
          <w:rFonts w:ascii="楷体" w:eastAsia="楷体" w:hAnsi="楷体" w:hint="eastAsia"/>
        </w:rPr>
        <w:t>参赛项目要求</w:t>
      </w:r>
    </w:p>
    <w:p w:rsidR="00833ECD" w:rsidRDefault="00833ECD" w:rsidP="00833ECD">
      <w:pPr>
        <w:snapToGrid w:val="0"/>
        <w:spacing w:line="324" w:lineRule="auto"/>
        <w:ind w:firstLine="640"/>
      </w:pPr>
      <w:r>
        <w:rPr>
          <w:rFonts w:hint="eastAsia"/>
        </w:rPr>
        <w:t>颠覆性技术是“改变游戏规则”的战略技术，应符合以下基本要求：</w:t>
      </w:r>
      <w:bookmarkStart w:id="3" w:name="OLE_LINK9"/>
      <w:bookmarkStart w:id="4" w:name="OLE_LINK10"/>
      <w:r>
        <w:rPr>
          <w:rFonts w:hint="eastAsia"/>
        </w:rPr>
        <w:t>一是场景强，应用领域为引领未来的前瞻场景或经济社会的战略场景，是场景技术体系“牵一发而动全身”的“核爆点”，</w:t>
      </w:r>
      <w:bookmarkStart w:id="5" w:name="_Hlk215221449"/>
      <w:r>
        <w:rPr>
          <w:rFonts w:hint="eastAsia"/>
        </w:rPr>
        <w:t>有力支撑前瞻场景开创性实现或战略场景跨越式变革。</w:t>
      </w:r>
      <w:bookmarkEnd w:id="5"/>
      <w:r>
        <w:rPr>
          <w:rFonts w:hint="eastAsia"/>
        </w:rPr>
        <w:t>二是需求刚，拟服务的需求具有较大现实或潜在规模，且已有技术不能很好满足场景当前或未来发展的某些重要要求，甚至基本处于空白，即存在重要需求痛点。三是路线深，是理论突破的重要前沿技术，或者深度集成的交叉技术，解决需求痛点潜力极大，瓦解已有技术核心功能的非对</w:t>
      </w:r>
      <w:r>
        <w:rPr>
          <w:rFonts w:hint="eastAsia"/>
        </w:rPr>
        <w:lastRenderedPageBreak/>
        <w:t>称优势极强，反颠覆门槛极高。四是功能独，技术功能相对完整且基本可自主发挥作用，不需要依附其他关键技术就能独立工作，或不需要进行复杂工程再造或对系统进行改造就能独立运行和使用。</w:t>
      </w:r>
    </w:p>
    <w:p w:rsidR="00833ECD" w:rsidRDefault="00833ECD" w:rsidP="00833ECD">
      <w:pPr>
        <w:snapToGrid w:val="0"/>
        <w:spacing w:line="324" w:lineRule="auto"/>
        <w:ind w:firstLine="640"/>
      </w:pPr>
      <w:r>
        <w:rPr>
          <w:rFonts w:hint="eastAsia"/>
        </w:rPr>
        <w:t>已获得颠覆性技术创新重点专项支持的项目、历届大赛卓越奖项目等不得参赛。</w:t>
      </w:r>
    </w:p>
    <w:bookmarkEnd w:id="3"/>
    <w:bookmarkEnd w:id="4"/>
    <w:p w:rsidR="00833ECD" w:rsidRDefault="00833ECD" w:rsidP="00833ECD">
      <w:pPr>
        <w:pStyle w:val="a7"/>
        <w:numPr>
          <w:ilvl w:val="0"/>
          <w:numId w:val="1"/>
        </w:numPr>
        <w:snapToGrid w:val="0"/>
        <w:spacing w:line="324" w:lineRule="auto"/>
        <w:rPr>
          <w:rFonts w:ascii="黑体" w:eastAsia="黑体" w:hAnsi="黑体"/>
        </w:rPr>
      </w:pPr>
      <w:r>
        <w:rPr>
          <w:rFonts w:ascii="黑体" w:eastAsia="黑体" w:hAnsi="黑体" w:hint="eastAsia"/>
        </w:rPr>
        <w:t>总体安排</w:t>
      </w:r>
    </w:p>
    <w:p w:rsidR="00833ECD" w:rsidRDefault="00833ECD" w:rsidP="00833ECD">
      <w:pPr>
        <w:snapToGrid w:val="0"/>
        <w:spacing w:line="324" w:lineRule="auto"/>
        <w:ind w:firstLine="640"/>
      </w:pPr>
      <w:r>
        <w:rPr>
          <w:rFonts w:hint="eastAsia"/>
        </w:rPr>
        <w:t>大赛围绕专项重点领域举办年度领域预赛、领域决赛、总决赛，并常年聚焦关键细分领域举办系列锦标赛选拔项目参加领域决赛，形成大赛矩阵。同时遴选高水平赛事作为战略合作伙伴推荐项目参赛，共同打造大赛“奥运会”。</w:t>
      </w:r>
    </w:p>
    <w:p w:rsidR="00833ECD" w:rsidRDefault="00833ECD" w:rsidP="00833ECD">
      <w:pPr>
        <w:pStyle w:val="a7"/>
        <w:numPr>
          <w:ilvl w:val="0"/>
          <w:numId w:val="4"/>
        </w:numPr>
        <w:snapToGrid w:val="0"/>
        <w:spacing w:line="324" w:lineRule="auto"/>
        <w:rPr>
          <w:rFonts w:ascii="楷体" w:eastAsia="楷体" w:hAnsi="楷体"/>
        </w:rPr>
      </w:pPr>
      <w:r>
        <w:rPr>
          <w:rFonts w:ascii="楷体" w:eastAsia="楷体" w:hAnsi="楷体" w:hint="eastAsia"/>
        </w:rPr>
        <w:t>领域预赛</w:t>
      </w:r>
    </w:p>
    <w:p w:rsidR="00833ECD" w:rsidRDefault="00833ECD" w:rsidP="00833ECD">
      <w:pPr>
        <w:snapToGrid w:val="0"/>
        <w:spacing w:line="324" w:lineRule="auto"/>
        <w:ind w:firstLine="640"/>
      </w:pPr>
      <w:r>
        <w:rPr>
          <w:rFonts w:hint="eastAsia"/>
        </w:rPr>
        <w:t>按照集成电路与微纳系统、人工智能与信息系统、科学仪器与新型实验系统、医疗器械、生物医药、能源、资源与环境、先进制造与运载系统等重点领域分别举办</w:t>
      </w:r>
      <w:bookmarkStart w:id="6" w:name="_Hlk191202226"/>
      <w:r>
        <w:rPr>
          <w:rFonts w:hint="eastAsia"/>
        </w:rPr>
        <w:t>领域预赛，开放式选拔重点领域具有颠覆性潜力的项目晋级领域决赛。</w:t>
      </w:r>
      <w:bookmarkEnd w:id="6"/>
    </w:p>
    <w:p w:rsidR="00833ECD" w:rsidRDefault="00833ECD" w:rsidP="00833ECD">
      <w:pPr>
        <w:snapToGrid w:val="0"/>
        <w:spacing w:line="324" w:lineRule="auto"/>
        <w:ind w:firstLine="640"/>
      </w:pPr>
      <w:r>
        <w:rPr>
          <w:rFonts w:hint="eastAsia"/>
        </w:rPr>
        <w:t>领域预赛名称为“</w:t>
      </w:r>
      <w:r>
        <w:rPr>
          <w:rFonts w:hint="eastAsia"/>
        </w:rPr>
        <w:t>2026</w:t>
      </w:r>
      <w:r>
        <w:rPr>
          <w:rFonts w:hint="eastAsia"/>
        </w:rPr>
        <w:t>全国颠覆性技术创新大赛×预赛”（“×”为领域名称）</w:t>
      </w:r>
      <w:bookmarkStart w:id="7" w:name="_Hlk201410125"/>
      <w:r>
        <w:rPr>
          <w:rFonts w:hint="eastAsia"/>
        </w:rPr>
        <w:t>，如“</w:t>
      </w:r>
      <w:r>
        <w:rPr>
          <w:rFonts w:hint="eastAsia"/>
        </w:rPr>
        <w:t>2026</w:t>
      </w:r>
      <w:r>
        <w:rPr>
          <w:rFonts w:hint="eastAsia"/>
        </w:rPr>
        <w:t>全国颠覆性技术创新大赛能源预赛</w:t>
      </w:r>
      <w:bookmarkEnd w:id="7"/>
      <w:r>
        <w:rPr>
          <w:rFonts w:hint="eastAsia"/>
        </w:rPr>
        <w:t>”。</w:t>
      </w:r>
    </w:p>
    <w:p w:rsidR="00833ECD" w:rsidRDefault="00833ECD" w:rsidP="00833ECD">
      <w:pPr>
        <w:pStyle w:val="a7"/>
        <w:numPr>
          <w:ilvl w:val="0"/>
          <w:numId w:val="4"/>
        </w:numPr>
        <w:snapToGrid w:val="0"/>
        <w:spacing w:line="324" w:lineRule="auto"/>
        <w:rPr>
          <w:rFonts w:ascii="楷体" w:eastAsia="楷体" w:hAnsi="楷体"/>
        </w:rPr>
      </w:pPr>
      <w:r>
        <w:rPr>
          <w:rFonts w:ascii="楷体" w:eastAsia="楷体" w:hAnsi="楷体" w:hint="eastAsia"/>
        </w:rPr>
        <w:t>锦标赛</w:t>
      </w:r>
    </w:p>
    <w:p w:rsidR="00833ECD" w:rsidRDefault="00833ECD" w:rsidP="00833ECD">
      <w:pPr>
        <w:snapToGrid w:val="0"/>
        <w:spacing w:line="324" w:lineRule="auto"/>
        <w:ind w:firstLine="640"/>
      </w:pPr>
      <w:r>
        <w:rPr>
          <w:rFonts w:hint="eastAsia"/>
        </w:rPr>
        <w:t>聚焦引领性前沿方向、战略性细分产业等关键细分领域分别举办锦标赛，集中式选拔该细分领域具有颠覆性潜力项目及原创性关键核心技术晋级领域决赛，</w:t>
      </w:r>
      <w:bookmarkStart w:id="8" w:name="_Hlk201476531"/>
      <w:r>
        <w:rPr>
          <w:rFonts w:hint="eastAsia"/>
        </w:rPr>
        <w:t>颠覆性特征特别显著的项目可直接参加总决赛。</w:t>
      </w:r>
      <w:bookmarkEnd w:id="8"/>
    </w:p>
    <w:p w:rsidR="00833ECD" w:rsidRDefault="00833ECD" w:rsidP="00833ECD">
      <w:pPr>
        <w:snapToGrid w:val="0"/>
        <w:spacing w:line="324" w:lineRule="auto"/>
        <w:ind w:firstLine="640"/>
      </w:pPr>
      <w:r>
        <w:rPr>
          <w:rFonts w:hint="eastAsia"/>
        </w:rPr>
        <w:t>锦标赛名称为“</w:t>
      </w:r>
      <w:r>
        <w:rPr>
          <w:rFonts w:hint="eastAsia"/>
        </w:rPr>
        <w:t>2026</w:t>
      </w:r>
      <w:r>
        <w:rPr>
          <w:rFonts w:hint="eastAsia"/>
        </w:rPr>
        <w:t>全国颠覆性技术创新大赛×锦标赛</w:t>
      </w:r>
      <w:r>
        <w:rPr>
          <w:rFonts w:hint="eastAsia"/>
        </w:rPr>
        <w:lastRenderedPageBreak/>
        <w:t>预赛”“</w:t>
      </w:r>
      <w:r>
        <w:rPr>
          <w:rFonts w:hint="eastAsia"/>
        </w:rPr>
        <w:t>2026</w:t>
      </w:r>
      <w:r>
        <w:rPr>
          <w:rFonts w:hint="eastAsia"/>
        </w:rPr>
        <w:t>全国颠覆性技术创新大赛×锦标赛决赛”（“×”为关键细分领域名称），如“</w:t>
      </w:r>
      <w:r>
        <w:rPr>
          <w:rFonts w:hint="eastAsia"/>
        </w:rPr>
        <w:t>2026</w:t>
      </w:r>
      <w:r>
        <w:rPr>
          <w:rFonts w:hint="eastAsia"/>
        </w:rPr>
        <w:t>全国颠覆性技术创新大赛智能机器人锦标赛预赛”“</w:t>
      </w:r>
      <w:r>
        <w:rPr>
          <w:rFonts w:hint="eastAsia"/>
        </w:rPr>
        <w:t>2026</w:t>
      </w:r>
      <w:r>
        <w:rPr>
          <w:rFonts w:hint="eastAsia"/>
        </w:rPr>
        <w:t>全国颠覆性技术创新大赛智能机器人锦标赛决赛”。</w:t>
      </w:r>
    </w:p>
    <w:p w:rsidR="00833ECD" w:rsidRDefault="00833ECD" w:rsidP="00833ECD">
      <w:pPr>
        <w:pStyle w:val="a7"/>
        <w:numPr>
          <w:ilvl w:val="0"/>
          <w:numId w:val="4"/>
        </w:numPr>
        <w:snapToGrid w:val="0"/>
        <w:spacing w:line="324" w:lineRule="auto"/>
      </w:pPr>
      <w:r>
        <w:rPr>
          <w:rFonts w:ascii="楷体" w:eastAsia="楷体" w:hAnsi="楷体" w:hint="eastAsia"/>
        </w:rPr>
        <w:t>领域决赛</w:t>
      </w:r>
    </w:p>
    <w:p w:rsidR="00833ECD" w:rsidRDefault="00833ECD" w:rsidP="00833ECD">
      <w:pPr>
        <w:snapToGrid w:val="0"/>
        <w:spacing w:line="324" w:lineRule="auto"/>
        <w:ind w:firstLine="640"/>
      </w:pPr>
      <w:r>
        <w:rPr>
          <w:rFonts w:hint="eastAsia"/>
        </w:rPr>
        <w:t>按照专项重点领域举办领域决赛，从对应领域预赛、相关锦标赛晋级项目和知名大赛推荐的高水平项目中，进一步选拔重点领域颠覆性潜力大的项目晋级总决赛。</w:t>
      </w:r>
    </w:p>
    <w:p w:rsidR="00833ECD" w:rsidRDefault="00833ECD" w:rsidP="00833ECD">
      <w:pPr>
        <w:snapToGrid w:val="0"/>
        <w:spacing w:line="324" w:lineRule="auto"/>
        <w:ind w:firstLine="640"/>
      </w:pPr>
      <w:r>
        <w:rPr>
          <w:rFonts w:hint="eastAsia"/>
        </w:rPr>
        <w:t>领域决赛名称为“</w:t>
      </w:r>
      <w:r>
        <w:rPr>
          <w:rFonts w:hint="eastAsia"/>
        </w:rPr>
        <w:t>2026</w:t>
      </w:r>
      <w:r>
        <w:rPr>
          <w:rFonts w:hint="eastAsia"/>
        </w:rPr>
        <w:t>全国颠覆性技术创新大赛×决赛”（“×”为领域名称），如“</w:t>
      </w:r>
      <w:r>
        <w:rPr>
          <w:rFonts w:hint="eastAsia"/>
        </w:rPr>
        <w:t>2026</w:t>
      </w:r>
      <w:r>
        <w:rPr>
          <w:rFonts w:hint="eastAsia"/>
        </w:rPr>
        <w:t>全国颠覆性技术创新大赛能源决赛”。</w:t>
      </w:r>
    </w:p>
    <w:p w:rsidR="00833ECD" w:rsidRDefault="00833ECD" w:rsidP="00833ECD">
      <w:pPr>
        <w:pStyle w:val="a7"/>
        <w:numPr>
          <w:ilvl w:val="0"/>
          <w:numId w:val="4"/>
        </w:numPr>
        <w:snapToGrid w:val="0"/>
        <w:spacing w:line="324" w:lineRule="auto"/>
        <w:rPr>
          <w:rFonts w:ascii="楷体" w:eastAsia="楷体" w:hAnsi="楷体"/>
        </w:rPr>
      </w:pPr>
      <w:r>
        <w:rPr>
          <w:rFonts w:ascii="楷体" w:eastAsia="楷体" w:hAnsi="楷体" w:hint="eastAsia"/>
        </w:rPr>
        <w:t>总决赛</w:t>
      </w:r>
    </w:p>
    <w:p w:rsidR="00833ECD" w:rsidRDefault="00833ECD" w:rsidP="00833ECD">
      <w:pPr>
        <w:snapToGrid w:val="0"/>
        <w:spacing w:line="324" w:lineRule="auto"/>
        <w:ind w:firstLine="640"/>
      </w:pPr>
      <w:r>
        <w:rPr>
          <w:rFonts w:hint="eastAsia"/>
        </w:rPr>
        <w:t>跨领域举办总决赛，从晋级总决赛项目中高标准选拔出颠覆性特征显著的大赛获奖项目。</w:t>
      </w:r>
    </w:p>
    <w:p w:rsidR="00833ECD" w:rsidRDefault="00833ECD" w:rsidP="00833ECD">
      <w:pPr>
        <w:snapToGrid w:val="0"/>
        <w:spacing w:line="324" w:lineRule="auto"/>
        <w:ind w:firstLine="640"/>
      </w:pPr>
      <w:r>
        <w:rPr>
          <w:rFonts w:hint="eastAsia"/>
        </w:rPr>
        <w:t>总决赛名称为“</w:t>
      </w:r>
      <w:r>
        <w:rPr>
          <w:rFonts w:hint="eastAsia"/>
        </w:rPr>
        <w:t>2026</w:t>
      </w:r>
      <w:r>
        <w:rPr>
          <w:rFonts w:hint="eastAsia"/>
        </w:rPr>
        <w:t>全国颠覆性技术创新大赛总决赛”。</w:t>
      </w:r>
    </w:p>
    <w:p w:rsidR="00833ECD" w:rsidRDefault="00833ECD" w:rsidP="00833ECD">
      <w:pPr>
        <w:pStyle w:val="a7"/>
        <w:numPr>
          <w:ilvl w:val="0"/>
          <w:numId w:val="1"/>
        </w:numPr>
        <w:snapToGrid w:val="0"/>
        <w:spacing w:line="324" w:lineRule="auto"/>
        <w:rPr>
          <w:rFonts w:ascii="黑体" w:eastAsia="黑体" w:hAnsi="黑体"/>
        </w:rPr>
      </w:pPr>
      <w:r>
        <w:rPr>
          <w:rFonts w:ascii="黑体" w:eastAsia="黑体" w:hAnsi="黑体" w:hint="eastAsia"/>
        </w:rPr>
        <w:t>举办比赛</w:t>
      </w:r>
    </w:p>
    <w:p w:rsidR="00833ECD" w:rsidRDefault="00833ECD" w:rsidP="00833ECD">
      <w:pPr>
        <w:pStyle w:val="a7"/>
        <w:numPr>
          <w:ilvl w:val="0"/>
          <w:numId w:val="5"/>
        </w:numPr>
        <w:snapToGrid w:val="0"/>
        <w:spacing w:line="324" w:lineRule="auto"/>
        <w:rPr>
          <w:rFonts w:ascii="楷体" w:eastAsia="楷体" w:hAnsi="楷体"/>
        </w:rPr>
      </w:pPr>
      <w:r>
        <w:rPr>
          <w:rFonts w:ascii="楷体" w:eastAsia="楷体" w:hAnsi="楷体" w:hint="eastAsia"/>
        </w:rPr>
        <w:t>领域预赛</w:t>
      </w:r>
    </w:p>
    <w:p w:rsidR="00833ECD" w:rsidRDefault="00833ECD" w:rsidP="00833ECD">
      <w:pPr>
        <w:snapToGrid w:val="0"/>
        <w:spacing w:line="324" w:lineRule="auto"/>
        <w:ind w:firstLine="640"/>
      </w:pPr>
      <w:r>
        <w:rPr>
          <w:rFonts w:hint="eastAsia"/>
        </w:rPr>
        <w:t>领域预赛大赛采取面向社会公开征集和单位推荐等方式广泛征集项目进行比赛。</w:t>
      </w:r>
    </w:p>
    <w:p w:rsidR="00833ECD" w:rsidRDefault="00833ECD" w:rsidP="00833ECD">
      <w:pPr>
        <w:pStyle w:val="a7"/>
        <w:numPr>
          <w:ilvl w:val="0"/>
          <w:numId w:val="6"/>
        </w:numPr>
        <w:snapToGrid w:val="0"/>
        <w:spacing w:line="324" w:lineRule="auto"/>
        <w:ind w:left="0" w:firstLine="640"/>
      </w:pPr>
      <w:r>
        <w:rPr>
          <w:rFonts w:hint="eastAsia"/>
        </w:rPr>
        <w:t>公开征集</w:t>
      </w:r>
    </w:p>
    <w:p w:rsidR="00833ECD" w:rsidRDefault="00833ECD" w:rsidP="00833ECD">
      <w:pPr>
        <w:pStyle w:val="a7"/>
        <w:numPr>
          <w:ilvl w:val="0"/>
          <w:numId w:val="7"/>
        </w:numPr>
        <w:tabs>
          <w:tab w:val="left" w:pos="1440"/>
        </w:tabs>
        <w:snapToGrid w:val="0"/>
        <w:spacing w:line="324" w:lineRule="auto"/>
        <w:ind w:left="0" w:firstLine="640"/>
      </w:pPr>
      <w:r>
        <w:rPr>
          <w:rFonts w:hint="eastAsia"/>
        </w:rPr>
        <w:t>自主报名。各参赛团队可根据本通知相关要求，通过大赛官方网站（</w:t>
      </w:r>
      <w:r>
        <w:rPr>
          <w:rFonts w:hint="eastAsia"/>
        </w:rPr>
        <w:t>http://www.dipa.cn</w:t>
      </w:r>
      <w:r>
        <w:rPr>
          <w:rFonts w:hint="eastAsia"/>
        </w:rPr>
        <w:t>）进行注册报名和提交参赛单位信息、项目基本信息、参赛承诺书等。</w:t>
      </w:r>
    </w:p>
    <w:p w:rsidR="00833ECD" w:rsidRDefault="00833ECD" w:rsidP="00833ECD">
      <w:pPr>
        <w:snapToGrid w:val="0"/>
        <w:spacing w:line="324" w:lineRule="auto"/>
        <w:ind w:firstLine="640"/>
      </w:pPr>
      <w:bookmarkStart w:id="9" w:name="_Hlk193114289"/>
      <w:r>
        <w:rPr>
          <w:rFonts w:hint="eastAsia"/>
        </w:rPr>
        <w:t>截止时间：</w:t>
      </w:r>
      <w:bookmarkEnd w:id="9"/>
      <w:r>
        <w:rPr>
          <w:rFonts w:hint="eastAsia"/>
        </w:rPr>
        <w:t>2026</w:t>
      </w:r>
      <w:r>
        <w:rPr>
          <w:rFonts w:hint="eastAsia"/>
        </w:rPr>
        <w:t>年</w:t>
      </w:r>
      <w:r>
        <w:rPr>
          <w:rFonts w:hint="eastAsia"/>
        </w:rPr>
        <w:t>3</w:t>
      </w:r>
      <w:r>
        <w:rPr>
          <w:rFonts w:hint="eastAsia"/>
        </w:rPr>
        <w:t>月</w:t>
      </w:r>
      <w:r>
        <w:rPr>
          <w:rFonts w:hint="eastAsia"/>
        </w:rPr>
        <w:t>10</w:t>
      </w:r>
      <w:r>
        <w:rPr>
          <w:rFonts w:hint="eastAsia"/>
        </w:rPr>
        <w:t>日。</w:t>
      </w:r>
    </w:p>
    <w:p w:rsidR="00833ECD" w:rsidRDefault="00833ECD" w:rsidP="00833ECD">
      <w:pPr>
        <w:pStyle w:val="a7"/>
        <w:numPr>
          <w:ilvl w:val="0"/>
          <w:numId w:val="7"/>
        </w:numPr>
        <w:tabs>
          <w:tab w:val="left" w:pos="1440"/>
        </w:tabs>
        <w:snapToGrid w:val="0"/>
        <w:spacing w:line="324" w:lineRule="auto"/>
        <w:ind w:left="0" w:firstLine="640"/>
      </w:pPr>
      <w:r>
        <w:rPr>
          <w:rFonts w:hint="eastAsia"/>
        </w:rPr>
        <w:t>项目初筛。各赛区执委会对本地区或辖区范围内</w:t>
      </w:r>
      <w:r>
        <w:rPr>
          <w:rFonts w:hint="eastAsia"/>
        </w:rPr>
        <w:lastRenderedPageBreak/>
        <w:t>报名参赛项目通过资格审查、专家评审等方式进行初筛，确定正式参加领域预赛项目名单。</w:t>
      </w:r>
    </w:p>
    <w:p w:rsidR="00833ECD" w:rsidRDefault="00833ECD" w:rsidP="00833ECD">
      <w:pPr>
        <w:snapToGrid w:val="0"/>
        <w:spacing w:line="324" w:lineRule="auto"/>
        <w:ind w:firstLine="640"/>
      </w:pPr>
      <w:r>
        <w:rPr>
          <w:rFonts w:hint="eastAsia"/>
        </w:rPr>
        <w:t>截止时间：</w:t>
      </w:r>
      <w:r>
        <w:rPr>
          <w:rFonts w:hint="eastAsia"/>
        </w:rPr>
        <w:t>2026</w:t>
      </w:r>
      <w:r>
        <w:rPr>
          <w:rFonts w:hint="eastAsia"/>
        </w:rPr>
        <w:t>年</w:t>
      </w:r>
      <w:r>
        <w:rPr>
          <w:rFonts w:hint="eastAsia"/>
        </w:rPr>
        <w:t>3</w:t>
      </w:r>
      <w:r>
        <w:rPr>
          <w:rFonts w:hint="eastAsia"/>
        </w:rPr>
        <w:t>月</w:t>
      </w:r>
      <w:r>
        <w:rPr>
          <w:rFonts w:hint="eastAsia"/>
        </w:rPr>
        <w:t>31</w:t>
      </w:r>
      <w:r>
        <w:rPr>
          <w:rFonts w:hint="eastAsia"/>
        </w:rPr>
        <w:t>日。</w:t>
      </w:r>
    </w:p>
    <w:p w:rsidR="00833ECD" w:rsidRDefault="00833ECD" w:rsidP="00833ECD">
      <w:pPr>
        <w:pStyle w:val="a7"/>
        <w:numPr>
          <w:ilvl w:val="0"/>
          <w:numId w:val="6"/>
        </w:numPr>
        <w:snapToGrid w:val="0"/>
        <w:spacing w:line="324" w:lineRule="auto"/>
        <w:ind w:left="0" w:firstLine="640"/>
      </w:pPr>
      <w:r>
        <w:rPr>
          <w:rFonts w:hint="eastAsia"/>
        </w:rPr>
        <w:t>推荐项目</w:t>
      </w:r>
    </w:p>
    <w:p w:rsidR="00833ECD" w:rsidRDefault="00833ECD" w:rsidP="00833ECD">
      <w:pPr>
        <w:snapToGrid w:val="0"/>
        <w:spacing w:line="324" w:lineRule="auto"/>
        <w:ind w:firstLine="640"/>
      </w:pPr>
      <w:r>
        <w:rPr>
          <w:rFonts w:hint="eastAsia"/>
        </w:rPr>
        <w:t>省级及计划单列市科技行政管理部门和国家级高新区、国家级大学科技园、国家技术创新中心，大赛组委会办公室认定的科技领军企业、知名风险投资基金、公益性科研基金、有影响力大赛及其他创新创业平台，向大赛组委会办公室推荐本地区或辖区、领域范围内优质项目参加领域预赛。获得推荐的项目通过大赛官方网站（</w:t>
      </w:r>
      <w:r>
        <w:rPr>
          <w:rFonts w:hint="eastAsia"/>
        </w:rPr>
        <w:t>http://www.dipa.cn</w:t>
      </w:r>
      <w:r>
        <w:rPr>
          <w:rFonts w:hint="eastAsia"/>
        </w:rPr>
        <w:t>）进行注册报名和提交参赛单位信息、项目基本信息、参赛承诺书等，大赛组委会办公室审查通过后获得直接参加领域预赛资格。</w:t>
      </w:r>
    </w:p>
    <w:p w:rsidR="00833ECD" w:rsidRDefault="00833ECD" w:rsidP="00833ECD">
      <w:pPr>
        <w:snapToGrid w:val="0"/>
        <w:spacing w:line="324" w:lineRule="auto"/>
        <w:ind w:firstLine="640"/>
      </w:pPr>
      <w:r>
        <w:rPr>
          <w:rFonts w:hint="eastAsia"/>
        </w:rPr>
        <w:t>截止时间：</w:t>
      </w:r>
      <w:r>
        <w:rPr>
          <w:rFonts w:hint="eastAsia"/>
        </w:rPr>
        <w:t>2026</w:t>
      </w:r>
      <w:r>
        <w:rPr>
          <w:rFonts w:hint="eastAsia"/>
        </w:rPr>
        <w:t>年</w:t>
      </w:r>
      <w:r>
        <w:rPr>
          <w:rFonts w:hint="eastAsia"/>
        </w:rPr>
        <w:t>3</w:t>
      </w:r>
      <w:r>
        <w:rPr>
          <w:rFonts w:hint="eastAsia"/>
        </w:rPr>
        <w:t>月</w:t>
      </w:r>
      <w:r>
        <w:rPr>
          <w:rFonts w:hint="eastAsia"/>
        </w:rPr>
        <w:t>31</w:t>
      </w:r>
      <w:r>
        <w:rPr>
          <w:rFonts w:hint="eastAsia"/>
        </w:rPr>
        <w:t>日。</w:t>
      </w:r>
    </w:p>
    <w:p w:rsidR="00833ECD" w:rsidRDefault="00833ECD" w:rsidP="00833ECD">
      <w:pPr>
        <w:pStyle w:val="a7"/>
        <w:numPr>
          <w:ilvl w:val="0"/>
          <w:numId w:val="6"/>
        </w:numPr>
        <w:snapToGrid w:val="0"/>
        <w:spacing w:line="324" w:lineRule="auto"/>
        <w:ind w:left="0" w:firstLine="640"/>
      </w:pPr>
      <w:bookmarkStart w:id="10" w:name="_Hlk193114350"/>
      <w:r>
        <w:rPr>
          <w:rFonts w:hint="eastAsia"/>
        </w:rPr>
        <w:t>举办比赛</w:t>
      </w:r>
    </w:p>
    <w:p w:rsidR="00833ECD" w:rsidRDefault="00833ECD" w:rsidP="00833ECD">
      <w:pPr>
        <w:snapToGrid w:val="0"/>
        <w:spacing w:line="324" w:lineRule="auto"/>
        <w:ind w:firstLine="640"/>
      </w:pPr>
      <w:r>
        <w:rPr>
          <w:rFonts w:hint="eastAsia"/>
        </w:rPr>
        <w:t>大赛组委会办公室分赛区、分领域举办若干场领域预赛，对参赛项目采取“线上路演</w:t>
      </w:r>
      <w:r>
        <w:rPr>
          <w:rFonts w:hint="eastAsia"/>
        </w:rPr>
        <w:t>+</w:t>
      </w:r>
      <w:r>
        <w:rPr>
          <w:rFonts w:hint="eastAsia"/>
        </w:rPr>
        <w:t>线下评议”的方式进行评价，遴选出晋级领域决赛项目。</w:t>
      </w:r>
    </w:p>
    <w:p w:rsidR="00833ECD" w:rsidRDefault="00833ECD" w:rsidP="00833ECD">
      <w:pPr>
        <w:snapToGrid w:val="0"/>
        <w:spacing w:line="324" w:lineRule="auto"/>
        <w:ind w:firstLine="640"/>
      </w:pPr>
      <w:r>
        <w:rPr>
          <w:rFonts w:hint="eastAsia"/>
        </w:rPr>
        <w:t>举办时间：</w:t>
      </w:r>
      <w:r>
        <w:rPr>
          <w:rFonts w:hint="eastAsia"/>
        </w:rPr>
        <w:t>2026</w:t>
      </w:r>
      <w:r>
        <w:rPr>
          <w:rFonts w:hint="eastAsia"/>
        </w:rPr>
        <w:t>年</w:t>
      </w:r>
      <w:r>
        <w:rPr>
          <w:rFonts w:hint="eastAsia"/>
        </w:rPr>
        <w:t>4</w:t>
      </w:r>
      <w:r>
        <w:rPr>
          <w:rFonts w:hint="eastAsia"/>
        </w:rPr>
        <w:t>月。</w:t>
      </w:r>
      <w:bookmarkEnd w:id="10"/>
    </w:p>
    <w:p w:rsidR="00833ECD" w:rsidRDefault="00833ECD" w:rsidP="00833ECD">
      <w:pPr>
        <w:pStyle w:val="a7"/>
        <w:numPr>
          <w:ilvl w:val="0"/>
          <w:numId w:val="5"/>
        </w:numPr>
        <w:snapToGrid w:val="0"/>
        <w:spacing w:line="324" w:lineRule="auto"/>
        <w:rPr>
          <w:rFonts w:ascii="楷体" w:eastAsia="楷体" w:hAnsi="楷体"/>
        </w:rPr>
      </w:pPr>
      <w:r>
        <w:rPr>
          <w:rFonts w:ascii="楷体" w:eastAsia="楷体" w:hAnsi="楷体" w:hint="eastAsia"/>
        </w:rPr>
        <w:t>锦标赛</w:t>
      </w:r>
    </w:p>
    <w:p w:rsidR="00833ECD" w:rsidRDefault="00833ECD" w:rsidP="00833ECD">
      <w:pPr>
        <w:snapToGrid w:val="0"/>
        <w:spacing w:line="324" w:lineRule="auto"/>
        <w:ind w:firstLine="640"/>
      </w:pPr>
      <w:r>
        <w:rPr>
          <w:rFonts w:hint="eastAsia"/>
        </w:rPr>
        <w:t>大赛组委会办公室与创新型城市、高新区商议确定锦标赛关键细分领域，发布专门工作方案。锦标赛可参考领域预赛方式遴选出晋级领域决赛项目，也可结合具体细分领域特征和要求采取其他比赛方式。</w:t>
      </w:r>
    </w:p>
    <w:p w:rsidR="00833ECD" w:rsidRDefault="00833ECD" w:rsidP="00833ECD">
      <w:pPr>
        <w:snapToGrid w:val="0"/>
        <w:spacing w:line="324" w:lineRule="auto"/>
        <w:ind w:firstLine="640"/>
      </w:pPr>
      <w:r>
        <w:rPr>
          <w:rFonts w:hint="eastAsia"/>
        </w:rPr>
        <w:t>举办时间：常年。</w:t>
      </w:r>
    </w:p>
    <w:p w:rsidR="00833ECD" w:rsidRDefault="00833ECD" w:rsidP="00833ECD">
      <w:pPr>
        <w:pStyle w:val="a7"/>
        <w:numPr>
          <w:ilvl w:val="0"/>
          <w:numId w:val="5"/>
        </w:numPr>
        <w:snapToGrid w:val="0"/>
        <w:spacing w:line="324" w:lineRule="auto"/>
        <w:rPr>
          <w:rFonts w:ascii="楷体" w:eastAsia="楷体" w:hAnsi="楷体"/>
        </w:rPr>
      </w:pPr>
      <w:bookmarkStart w:id="11" w:name="_Hlk193114182"/>
      <w:bookmarkStart w:id="12" w:name="_Hlk193114571"/>
      <w:r>
        <w:rPr>
          <w:rFonts w:ascii="楷体" w:eastAsia="楷体" w:hAnsi="楷体" w:hint="eastAsia"/>
        </w:rPr>
        <w:t>领域决赛</w:t>
      </w:r>
    </w:p>
    <w:bookmarkEnd w:id="11"/>
    <w:p w:rsidR="00833ECD" w:rsidRDefault="00833ECD" w:rsidP="00833ECD">
      <w:pPr>
        <w:snapToGrid w:val="0"/>
        <w:spacing w:line="324" w:lineRule="auto"/>
        <w:ind w:firstLine="640"/>
      </w:pPr>
      <w:r>
        <w:rPr>
          <w:rFonts w:hint="eastAsia"/>
        </w:rPr>
        <w:lastRenderedPageBreak/>
        <w:t>领域决赛除领域预赛、锦标赛晋级项目参赛外，也可由国内外知名大赛推荐项目参赛。</w:t>
      </w:r>
    </w:p>
    <w:p w:rsidR="00833ECD" w:rsidRDefault="00833ECD" w:rsidP="00833ECD">
      <w:pPr>
        <w:pStyle w:val="a7"/>
        <w:numPr>
          <w:ilvl w:val="0"/>
          <w:numId w:val="8"/>
        </w:numPr>
        <w:snapToGrid w:val="0"/>
        <w:spacing w:line="324" w:lineRule="auto"/>
        <w:ind w:left="0" w:firstLine="640"/>
      </w:pPr>
      <w:r>
        <w:rPr>
          <w:rFonts w:hint="eastAsia"/>
        </w:rPr>
        <w:t>推荐项目</w:t>
      </w:r>
    </w:p>
    <w:p w:rsidR="00833ECD" w:rsidRDefault="00833ECD" w:rsidP="00833ECD">
      <w:pPr>
        <w:snapToGrid w:val="0"/>
        <w:spacing w:line="324" w:lineRule="auto"/>
        <w:ind w:firstLine="640"/>
      </w:pPr>
      <w:r>
        <w:rPr>
          <w:rFonts w:hint="eastAsia"/>
        </w:rPr>
        <w:t>大赛组委会办公室认定的知名大赛可从获奖项目中推荐优秀项目直接参加领域决赛，获得推荐的项目参照领域预赛推荐程序进行注册和资格审查</w:t>
      </w:r>
      <w:bookmarkStart w:id="13" w:name="_Hlk191200608"/>
      <w:r>
        <w:rPr>
          <w:rFonts w:hint="eastAsia"/>
        </w:rPr>
        <w:t>。</w:t>
      </w:r>
    </w:p>
    <w:p w:rsidR="00833ECD" w:rsidRDefault="00833ECD" w:rsidP="00833ECD">
      <w:pPr>
        <w:snapToGrid w:val="0"/>
        <w:spacing w:line="324" w:lineRule="auto"/>
        <w:ind w:firstLine="640"/>
      </w:pPr>
      <w:r>
        <w:rPr>
          <w:rFonts w:hint="eastAsia"/>
        </w:rPr>
        <w:t>截止时间：</w:t>
      </w:r>
      <w:r>
        <w:rPr>
          <w:rFonts w:hint="eastAsia"/>
        </w:rPr>
        <w:t>2026</w:t>
      </w:r>
      <w:r>
        <w:rPr>
          <w:rFonts w:hint="eastAsia"/>
        </w:rPr>
        <w:t>年</w:t>
      </w:r>
      <w:r>
        <w:rPr>
          <w:rFonts w:hint="eastAsia"/>
        </w:rPr>
        <w:t>4</w:t>
      </w:r>
      <w:r>
        <w:rPr>
          <w:rFonts w:hint="eastAsia"/>
        </w:rPr>
        <w:t>月</w:t>
      </w:r>
      <w:r>
        <w:rPr>
          <w:rFonts w:hint="eastAsia"/>
        </w:rPr>
        <w:t>30</w:t>
      </w:r>
      <w:r>
        <w:rPr>
          <w:rFonts w:hint="eastAsia"/>
        </w:rPr>
        <w:t>日。</w:t>
      </w:r>
      <w:bookmarkEnd w:id="13"/>
    </w:p>
    <w:p w:rsidR="00833ECD" w:rsidRDefault="00833ECD" w:rsidP="00833ECD">
      <w:pPr>
        <w:pStyle w:val="a7"/>
        <w:numPr>
          <w:ilvl w:val="0"/>
          <w:numId w:val="8"/>
        </w:numPr>
        <w:snapToGrid w:val="0"/>
        <w:spacing w:line="324" w:lineRule="auto"/>
        <w:ind w:left="0" w:firstLine="640"/>
      </w:pPr>
      <w:r>
        <w:rPr>
          <w:rFonts w:hint="eastAsia"/>
        </w:rPr>
        <w:t>提交项目建议书</w:t>
      </w:r>
    </w:p>
    <w:p w:rsidR="00833ECD" w:rsidRDefault="00833ECD" w:rsidP="00833ECD">
      <w:pPr>
        <w:snapToGrid w:val="0"/>
        <w:spacing w:line="324" w:lineRule="auto"/>
        <w:ind w:firstLine="640"/>
      </w:pPr>
      <w:r>
        <w:rPr>
          <w:rFonts w:hint="eastAsia"/>
        </w:rPr>
        <w:t>领域预赛、锦标赛晋级领域决赛项目和知名大赛推荐项目向大赛主办单位提交项目建议书，大赛组委会办公室审核通过后获得正式参加领域决赛资格。</w:t>
      </w:r>
    </w:p>
    <w:p w:rsidR="00833ECD" w:rsidRDefault="00833ECD" w:rsidP="00833ECD">
      <w:pPr>
        <w:snapToGrid w:val="0"/>
        <w:spacing w:line="324" w:lineRule="auto"/>
        <w:ind w:firstLine="640"/>
      </w:pPr>
      <w:r>
        <w:rPr>
          <w:rFonts w:hint="eastAsia"/>
        </w:rPr>
        <w:t>截止时间：</w:t>
      </w:r>
      <w:r>
        <w:rPr>
          <w:rFonts w:hint="eastAsia"/>
        </w:rPr>
        <w:t>2026</w:t>
      </w:r>
      <w:r>
        <w:rPr>
          <w:rFonts w:hint="eastAsia"/>
        </w:rPr>
        <w:t>年</w:t>
      </w:r>
      <w:r>
        <w:t>5</w:t>
      </w:r>
      <w:r>
        <w:rPr>
          <w:rFonts w:hint="eastAsia"/>
        </w:rPr>
        <w:t>月</w:t>
      </w:r>
      <w:r>
        <w:rPr>
          <w:rFonts w:hint="eastAsia"/>
        </w:rPr>
        <w:t>3</w:t>
      </w:r>
      <w:r>
        <w:t>1</w:t>
      </w:r>
      <w:r>
        <w:rPr>
          <w:rFonts w:hint="eastAsia"/>
        </w:rPr>
        <w:t>日。</w:t>
      </w:r>
    </w:p>
    <w:p w:rsidR="00833ECD" w:rsidRDefault="00833ECD" w:rsidP="00833ECD">
      <w:pPr>
        <w:pStyle w:val="a7"/>
        <w:numPr>
          <w:ilvl w:val="0"/>
          <w:numId w:val="8"/>
        </w:numPr>
        <w:snapToGrid w:val="0"/>
        <w:spacing w:line="324" w:lineRule="auto"/>
        <w:ind w:left="0" w:firstLine="640"/>
      </w:pPr>
      <w:r>
        <w:rPr>
          <w:rFonts w:hint="eastAsia"/>
        </w:rPr>
        <w:t>举办比赛</w:t>
      </w:r>
    </w:p>
    <w:p w:rsidR="00833ECD" w:rsidRDefault="00833ECD" w:rsidP="00833ECD">
      <w:pPr>
        <w:snapToGrid w:val="0"/>
        <w:spacing w:line="324" w:lineRule="auto"/>
        <w:ind w:firstLine="640"/>
      </w:pPr>
      <w:r>
        <w:rPr>
          <w:rFonts w:hint="eastAsia"/>
        </w:rPr>
        <w:t>大赛组委会办公室分赛区、分领域举办若干场领域决赛，对参赛项目采取“线下路演</w:t>
      </w:r>
      <w:r>
        <w:rPr>
          <w:rFonts w:hint="eastAsia"/>
        </w:rPr>
        <w:t>+</w:t>
      </w:r>
      <w:r>
        <w:rPr>
          <w:rFonts w:hint="eastAsia"/>
        </w:rPr>
        <w:t>线下评议”方式进行评价，遴选出各领域晋级总决赛项目。</w:t>
      </w:r>
    </w:p>
    <w:p w:rsidR="00833ECD" w:rsidRDefault="00833ECD" w:rsidP="00833ECD">
      <w:pPr>
        <w:snapToGrid w:val="0"/>
        <w:spacing w:line="324" w:lineRule="auto"/>
        <w:ind w:firstLine="640"/>
      </w:pPr>
      <w:r>
        <w:rPr>
          <w:rFonts w:hint="eastAsia"/>
        </w:rPr>
        <w:t>举办时间：</w:t>
      </w:r>
      <w:r>
        <w:rPr>
          <w:rFonts w:hint="eastAsia"/>
        </w:rPr>
        <w:t>2026</w:t>
      </w:r>
      <w:r>
        <w:rPr>
          <w:rFonts w:hint="eastAsia"/>
        </w:rPr>
        <w:t>年</w:t>
      </w:r>
      <w:r>
        <w:rPr>
          <w:rFonts w:hint="eastAsia"/>
        </w:rPr>
        <w:t>6</w:t>
      </w:r>
      <w:r>
        <w:rPr>
          <w:rFonts w:hint="eastAsia"/>
        </w:rPr>
        <w:t>月。</w:t>
      </w:r>
    </w:p>
    <w:p w:rsidR="00833ECD" w:rsidRDefault="00833ECD" w:rsidP="00833ECD">
      <w:pPr>
        <w:snapToGrid w:val="0"/>
        <w:spacing w:line="324" w:lineRule="auto"/>
        <w:ind w:firstLine="640"/>
      </w:pPr>
      <w:r>
        <w:rPr>
          <w:rFonts w:hint="eastAsia"/>
        </w:rPr>
        <w:t>（锦标赛在领域决赛举办之后产生的晋级项目参加下一年度领域决赛。）</w:t>
      </w:r>
      <w:bookmarkEnd w:id="12"/>
    </w:p>
    <w:p w:rsidR="00833ECD" w:rsidRDefault="00833ECD" w:rsidP="00833ECD">
      <w:pPr>
        <w:pStyle w:val="a7"/>
        <w:numPr>
          <w:ilvl w:val="0"/>
          <w:numId w:val="5"/>
        </w:numPr>
        <w:snapToGrid w:val="0"/>
        <w:spacing w:line="324" w:lineRule="auto"/>
        <w:rPr>
          <w:rFonts w:ascii="楷体" w:eastAsia="楷体" w:hAnsi="楷体"/>
        </w:rPr>
      </w:pPr>
      <w:r>
        <w:rPr>
          <w:rFonts w:ascii="楷体" w:eastAsia="楷体" w:hAnsi="楷体" w:hint="eastAsia"/>
        </w:rPr>
        <w:t>总决赛</w:t>
      </w:r>
    </w:p>
    <w:p w:rsidR="00833ECD" w:rsidRDefault="00833ECD" w:rsidP="00833ECD">
      <w:pPr>
        <w:pStyle w:val="a7"/>
        <w:snapToGrid w:val="0"/>
        <w:spacing w:line="324" w:lineRule="auto"/>
        <w:ind w:firstLine="640"/>
      </w:pPr>
      <w:bookmarkStart w:id="14" w:name="_Hlk193114763"/>
      <w:r>
        <w:rPr>
          <w:rFonts w:hint="eastAsia"/>
        </w:rPr>
        <w:t>大赛组委会办公室跨赛区、跨领域举办总决赛，对领域决赛晋级项目进行多维评价，选拔出大赛卓越奖、优秀奖、优胜奖项目。</w:t>
      </w:r>
      <w:bookmarkEnd w:id="14"/>
    </w:p>
    <w:p w:rsidR="00833ECD" w:rsidRDefault="00833ECD" w:rsidP="00833ECD">
      <w:pPr>
        <w:pStyle w:val="a7"/>
        <w:snapToGrid w:val="0"/>
        <w:spacing w:line="324" w:lineRule="auto"/>
        <w:ind w:left="640" w:firstLineChars="0" w:firstLine="0"/>
        <w:rPr>
          <w:rFonts w:ascii="黑体" w:eastAsia="黑体" w:hAnsi="黑体"/>
        </w:rPr>
      </w:pPr>
      <w:r>
        <w:rPr>
          <w:rFonts w:hint="eastAsia"/>
        </w:rPr>
        <w:t>举办时间：</w:t>
      </w:r>
      <w:r>
        <w:rPr>
          <w:rFonts w:hint="eastAsia"/>
        </w:rPr>
        <w:t>2026</w:t>
      </w:r>
      <w:r>
        <w:rPr>
          <w:rFonts w:hint="eastAsia"/>
        </w:rPr>
        <w:t>年</w:t>
      </w:r>
      <w:r>
        <w:t>7</w:t>
      </w:r>
      <w:r>
        <w:rPr>
          <w:rFonts w:hint="eastAsia"/>
        </w:rPr>
        <w:t>月。</w:t>
      </w:r>
    </w:p>
    <w:p w:rsidR="00833ECD" w:rsidRDefault="00833ECD" w:rsidP="00833ECD">
      <w:pPr>
        <w:pStyle w:val="a7"/>
        <w:numPr>
          <w:ilvl w:val="0"/>
          <w:numId w:val="1"/>
        </w:numPr>
        <w:snapToGrid w:val="0"/>
        <w:spacing w:line="324" w:lineRule="auto"/>
        <w:rPr>
          <w:rFonts w:ascii="黑体" w:eastAsia="黑体" w:hAnsi="黑体"/>
        </w:rPr>
      </w:pPr>
      <w:bookmarkStart w:id="15" w:name="_Hlk193114905"/>
      <w:r>
        <w:rPr>
          <w:rFonts w:ascii="黑体" w:eastAsia="黑体" w:hAnsi="黑体" w:hint="eastAsia"/>
        </w:rPr>
        <w:t>工作要求</w:t>
      </w:r>
    </w:p>
    <w:p w:rsidR="00833ECD" w:rsidRDefault="00833ECD" w:rsidP="00833ECD">
      <w:pPr>
        <w:pStyle w:val="a7"/>
        <w:numPr>
          <w:ilvl w:val="0"/>
          <w:numId w:val="9"/>
        </w:numPr>
        <w:snapToGrid w:val="0"/>
        <w:spacing w:line="324" w:lineRule="auto"/>
      </w:pPr>
      <w:r>
        <w:rPr>
          <w:rFonts w:hint="eastAsia"/>
        </w:rPr>
        <w:lastRenderedPageBreak/>
        <w:t>请各推荐单位及相关单位积极宣传并广泛动员，深入挖掘和组织具有颠覆性技术潜力的项目参赛，为参赛项目提供相关政策支持和增值服务，建立完善长期跟踪和服务机制。</w:t>
      </w:r>
    </w:p>
    <w:p w:rsidR="00833ECD" w:rsidRDefault="00833ECD" w:rsidP="00833ECD">
      <w:pPr>
        <w:pStyle w:val="a7"/>
        <w:numPr>
          <w:ilvl w:val="0"/>
          <w:numId w:val="9"/>
        </w:numPr>
        <w:snapToGrid w:val="0"/>
        <w:spacing w:line="324" w:lineRule="auto"/>
      </w:pPr>
      <w:r>
        <w:rPr>
          <w:rFonts w:hint="eastAsia"/>
        </w:rPr>
        <w:t>各推荐单位要认真履行项目推荐职责，按照参赛单位和项目要求，推荐本地区或领域内优质项目参赛，负责推荐项目的基本条件审查。</w:t>
      </w:r>
    </w:p>
    <w:p w:rsidR="00833ECD" w:rsidRDefault="00833ECD" w:rsidP="00833ECD">
      <w:pPr>
        <w:pStyle w:val="a7"/>
        <w:numPr>
          <w:ilvl w:val="0"/>
          <w:numId w:val="9"/>
        </w:numPr>
        <w:snapToGrid w:val="0"/>
        <w:spacing w:line="324" w:lineRule="auto"/>
      </w:pPr>
      <w:r>
        <w:rPr>
          <w:rFonts w:hint="eastAsia"/>
        </w:rPr>
        <w:t>在赛事举办过程中，如发现参赛项目信息存在不真实、不完整、不合规等情况，大赛组委会办公室有权终止该项目继续参赛或取消推荐单位的推荐资格。</w:t>
      </w:r>
    </w:p>
    <w:p w:rsidR="00833ECD" w:rsidRDefault="00833ECD" w:rsidP="00833ECD">
      <w:pPr>
        <w:pStyle w:val="a7"/>
        <w:numPr>
          <w:ilvl w:val="0"/>
          <w:numId w:val="9"/>
        </w:numPr>
        <w:snapToGrid w:val="0"/>
        <w:spacing w:line="324" w:lineRule="auto"/>
      </w:pPr>
      <w:r>
        <w:rPr>
          <w:rFonts w:hint="eastAsia"/>
        </w:rPr>
        <w:t>大赛组委会办公室只对获得参赛资格和晋级的团队发放有关通知，对未获得参赛资格或晋级的团队不发放任何通知，对参赛结果不做任何解释。大赛公开信息通过大赛官方网站（</w:t>
      </w:r>
      <w:r>
        <w:rPr>
          <w:rFonts w:hint="eastAsia"/>
        </w:rPr>
        <w:t>http://www.dipa.cn</w:t>
      </w:r>
      <w:r>
        <w:rPr>
          <w:rFonts w:hint="eastAsia"/>
        </w:rPr>
        <w:t>）发布。</w:t>
      </w:r>
    </w:p>
    <w:p w:rsidR="00833ECD" w:rsidRDefault="00833ECD" w:rsidP="00833ECD">
      <w:pPr>
        <w:pStyle w:val="a7"/>
        <w:numPr>
          <w:ilvl w:val="0"/>
          <w:numId w:val="9"/>
        </w:numPr>
        <w:snapToGrid w:val="0"/>
        <w:spacing w:line="324" w:lineRule="auto"/>
      </w:pPr>
      <w:r>
        <w:rPr>
          <w:rFonts w:hint="eastAsia"/>
        </w:rPr>
        <w:t>比赛不向参赛单位收取任何费用。</w:t>
      </w:r>
    </w:p>
    <w:p w:rsidR="00833ECD" w:rsidRDefault="00833ECD" w:rsidP="00833ECD">
      <w:pPr>
        <w:pStyle w:val="a7"/>
        <w:numPr>
          <w:ilvl w:val="0"/>
          <w:numId w:val="1"/>
        </w:numPr>
        <w:snapToGrid w:val="0"/>
        <w:spacing w:line="324" w:lineRule="auto"/>
        <w:rPr>
          <w:rFonts w:ascii="黑体" w:eastAsia="黑体" w:hAnsi="黑体"/>
        </w:rPr>
      </w:pPr>
      <w:r>
        <w:rPr>
          <w:rFonts w:ascii="黑体" w:eastAsia="黑体" w:hAnsi="黑体" w:hint="eastAsia"/>
        </w:rPr>
        <w:t>服务政策</w:t>
      </w:r>
    </w:p>
    <w:p w:rsidR="00833ECD" w:rsidRDefault="00833ECD" w:rsidP="00833ECD">
      <w:pPr>
        <w:snapToGrid w:val="0"/>
        <w:spacing w:line="324" w:lineRule="auto"/>
        <w:ind w:firstLine="640"/>
      </w:pPr>
      <w:r>
        <w:rPr>
          <w:rFonts w:hint="eastAsia"/>
        </w:rPr>
        <w:t>大赛主办单位、承办单位将根据具体情况为获奖项目提供多种服务。</w:t>
      </w:r>
    </w:p>
    <w:p w:rsidR="00833ECD" w:rsidRDefault="00833ECD" w:rsidP="00833ECD">
      <w:pPr>
        <w:pStyle w:val="a7"/>
        <w:numPr>
          <w:ilvl w:val="2"/>
          <w:numId w:val="10"/>
        </w:numPr>
        <w:snapToGrid w:val="0"/>
        <w:spacing w:line="324" w:lineRule="auto"/>
        <w:rPr>
          <w:rFonts w:ascii="楷体" w:eastAsia="楷体" w:hAnsi="楷体"/>
        </w:rPr>
      </w:pPr>
      <w:r>
        <w:rPr>
          <w:rFonts w:ascii="楷体" w:eastAsia="楷体" w:hAnsi="楷体" w:hint="eastAsia"/>
        </w:rPr>
        <w:t>宣传展示</w:t>
      </w:r>
    </w:p>
    <w:p w:rsidR="00833ECD" w:rsidRDefault="00833ECD" w:rsidP="00833ECD">
      <w:pPr>
        <w:snapToGrid w:val="0"/>
        <w:spacing w:line="324" w:lineRule="auto"/>
        <w:ind w:firstLine="640"/>
        <w:rPr>
          <w:rFonts w:ascii="楷体" w:eastAsia="楷体" w:hAnsi="楷体"/>
        </w:rPr>
      </w:pPr>
      <w:r>
        <w:rPr>
          <w:rFonts w:ascii="仿宋" w:hAnsi="仿宋" w:hint="eastAsia"/>
        </w:rPr>
        <w:t>通过媒体报道、展览展示等方式对项目进行宣传推介，扩大项目影响力，创造发展机会。</w:t>
      </w:r>
    </w:p>
    <w:p w:rsidR="00833ECD" w:rsidRDefault="00833ECD" w:rsidP="00833ECD">
      <w:pPr>
        <w:pStyle w:val="a7"/>
        <w:numPr>
          <w:ilvl w:val="2"/>
          <w:numId w:val="10"/>
        </w:numPr>
        <w:snapToGrid w:val="0"/>
        <w:spacing w:line="324" w:lineRule="auto"/>
        <w:rPr>
          <w:rFonts w:ascii="仿宋" w:hAnsi="仿宋"/>
        </w:rPr>
      </w:pPr>
      <w:r>
        <w:rPr>
          <w:rFonts w:ascii="楷体" w:eastAsia="楷体" w:hAnsi="楷体" w:hint="eastAsia"/>
        </w:rPr>
        <w:t>推荐立项</w:t>
      </w:r>
    </w:p>
    <w:p w:rsidR="00833ECD" w:rsidRDefault="00833ECD" w:rsidP="00833ECD">
      <w:pPr>
        <w:snapToGrid w:val="0"/>
        <w:spacing w:line="324" w:lineRule="auto"/>
        <w:ind w:firstLineChars="0" w:firstLine="640"/>
        <w:rPr>
          <w:rFonts w:ascii="仿宋" w:hAnsi="仿宋"/>
        </w:rPr>
      </w:pPr>
      <w:r>
        <w:rPr>
          <w:rFonts w:ascii="仿宋" w:hAnsi="仿宋" w:hint="eastAsia"/>
        </w:rPr>
        <w:t>择优向国家颠覆性技术创新重点专项、地方颠覆性技术创新专项及相关科技计划、地方颠覆性技术创新投资基金及知名投资基金等渠道推荐和争取支持。</w:t>
      </w:r>
    </w:p>
    <w:p w:rsidR="00833ECD" w:rsidRDefault="00833ECD" w:rsidP="00833ECD">
      <w:pPr>
        <w:pStyle w:val="a7"/>
        <w:numPr>
          <w:ilvl w:val="2"/>
          <w:numId w:val="10"/>
        </w:numPr>
        <w:snapToGrid w:val="0"/>
        <w:spacing w:line="324" w:lineRule="auto"/>
        <w:rPr>
          <w:rFonts w:ascii="楷体" w:eastAsia="楷体" w:hAnsi="楷体"/>
        </w:rPr>
      </w:pPr>
      <w:r>
        <w:rPr>
          <w:rFonts w:ascii="楷体" w:eastAsia="楷体" w:hAnsi="楷体" w:hint="eastAsia"/>
        </w:rPr>
        <w:t>转化应用</w:t>
      </w:r>
    </w:p>
    <w:p w:rsidR="00833ECD" w:rsidRDefault="00833ECD" w:rsidP="00833ECD">
      <w:pPr>
        <w:snapToGrid w:val="0"/>
        <w:spacing w:line="324" w:lineRule="auto"/>
        <w:ind w:firstLineChars="0" w:firstLine="640"/>
        <w:rPr>
          <w:rFonts w:ascii="仿宋" w:hAnsi="仿宋"/>
        </w:rPr>
      </w:pPr>
      <w:r>
        <w:rPr>
          <w:rFonts w:ascii="仿宋" w:hAnsi="仿宋" w:hint="eastAsia"/>
        </w:rPr>
        <w:lastRenderedPageBreak/>
        <w:t>对获奖项目和其他优质项目团队进行培训，协助对接各类风险投资基金、商业银行、学术机构、应用场景等，加快技术迭代和成果转化，培育新质生产力。</w:t>
      </w:r>
      <w:bookmarkEnd w:id="15"/>
    </w:p>
    <w:p w:rsidR="00833ECD" w:rsidRDefault="00833ECD" w:rsidP="00833ECD">
      <w:pPr>
        <w:pStyle w:val="a7"/>
        <w:numPr>
          <w:ilvl w:val="0"/>
          <w:numId w:val="1"/>
        </w:numPr>
        <w:snapToGrid w:val="0"/>
        <w:spacing w:line="324" w:lineRule="auto"/>
        <w:rPr>
          <w:rFonts w:eastAsia="黑体" w:cs="Times New Roman"/>
          <w:kern w:val="0"/>
          <w:szCs w:val="32"/>
        </w:rPr>
      </w:pPr>
      <w:bookmarkStart w:id="16" w:name="_Hlk193115285"/>
      <w:r>
        <w:rPr>
          <w:rFonts w:eastAsia="黑体" w:cs="Times New Roman" w:hint="eastAsia"/>
          <w:kern w:val="0"/>
          <w:szCs w:val="32"/>
        </w:rPr>
        <w:t>联系方式</w:t>
      </w:r>
    </w:p>
    <w:p w:rsidR="00833ECD" w:rsidRDefault="00833ECD" w:rsidP="00833ECD">
      <w:pPr>
        <w:pStyle w:val="a7"/>
        <w:numPr>
          <w:ilvl w:val="2"/>
          <w:numId w:val="11"/>
        </w:numPr>
        <w:snapToGrid w:val="0"/>
        <w:spacing w:line="324" w:lineRule="auto"/>
        <w:rPr>
          <w:rFonts w:ascii="楷体" w:eastAsia="楷体" w:hAnsi="楷体"/>
        </w:rPr>
      </w:pPr>
      <w:r>
        <w:rPr>
          <w:rFonts w:ascii="楷体" w:eastAsia="楷体" w:hAnsi="楷体" w:hint="eastAsia"/>
        </w:rPr>
        <w:t>赛事咨询</w:t>
      </w:r>
    </w:p>
    <w:p w:rsidR="00833ECD" w:rsidRDefault="00833ECD" w:rsidP="00833ECD">
      <w:pPr>
        <w:pStyle w:val="a7"/>
        <w:numPr>
          <w:ilvl w:val="0"/>
          <w:numId w:val="12"/>
        </w:numPr>
        <w:snapToGrid w:val="0"/>
        <w:spacing w:line="324" w:lineRule="auto"/>
        <w:ind w:firstLineChars="0"/>
        <w:rPr>
          <w:rFonts w:cs="Times New Roman"/>
          <w:kern w:val="0"/>
          <w:szCs w:val="32"/>
        </w:rPr>
      </w:pPr>
      <w:r>
        <w:rPr>
          <w:rFonts w:hint="eastAsia"/>
        </w:rPr>
        <w:t>京津冀国家技术创新中心</w:t>
      </w:r>
    </w:p>
    <w:p w:rsidR="00833ECD" w:rsidRDefault="00833ECD" w:rsidP="00833ECD">
      <w:pPr>
        <w:snapToGrid w:val="0"/>
        <w:spacing w:line="324" w:lineRule="auto"/>
        <w:ind w:firstLineChars="0" w:firstLine="641"/>
        <w:rPr>
          <w:rFonts w:cs="Times New Roman"/>
          <w:color w:val="000000" w:themeColor="text1"/>
          <w:kern w:val="0"/>
          <w:szCs w:val="32"/>
        </w:rPr>
      </w:pPr>
      <w:r>
        <w:rPr>
          <w:rFonts w:cs="Times New Roman" w:hint="eastAsia"/>
          <w:color w:val="000000" w:themeColor="text1"/>
          <w:kern w:val="0"/>
          <w:szCs w:val="32"/>
        </w:rPr>
        <w:t>联系人：杨艺</w:t>
      </w:r>
    </w:p>
    <w:p w:rsidR="00833ECD" w:rsidRDefault="00833ECD" w:rsidP="00833ECD">
      <w:pPr>
        <w:snapToGrid w:val="0"/>
        <w:spacing w:line="324" w:lineRule="auto"/>
        <w:ind w:firstLineChars="0" w:firstLine="641"/>
        <w:rPr>
          <w:rFonts w:cs="Times New Roman"/>
          <w:color w:val="000000" w:themeColor="text1"/>
          <w:kern w:val="0"/>
          <w:szCs w:val="32"/>
        </w:rPr>
      </w:pPr>
      <w:r>
        <w:rPr>
          <w:rFonts w:cs="Times New Roman" w:hint="eastAsia"/>
          <w:color w:val="000000" w:themeColor="text1"/>
          <w:kern w:val="0"/>
          <w:szCs w:val="32"/>
        </w:rPr>
        <w:t>邮</w:t>
      </w:r>
      <w:r>
        <w:rPr>
          <w:rFonts w:cs="Times New Roman" w:hint="eastAsia"/>
          <w:color w:val="000000" w:themeColor="text1"/>
          <w:kern w:val="0"/>
          <w:szCs w:val="32"/>
        </w:rPr>
        <w:t xml:space="preserve"> </w:t>
      </w:r>
      <w:r>
        <w:rPr>
          <w:rFonts w:cs="Times New Roman"/>
          <w:color w:val="000000" w:themeColor="text1"/>
          <w:kern w:val="0"/>
          <w:szCs w:val="32"/>
        </w:rPr>
        <w:t xml:space="preserve"> </w:t>
      </w:r>
      <w:r>
        <w:rPr>
          <w:rFonts w:cs="Times New Roman" w:hint="eastAsia"/>
          <w:color w:val="000000" w:themeColor="text1"/>
          <w:kern w:val="0"/>
          <w:szCs w:val="32"/>
        </w:rPr>
        <w:t>箱：</w:t>
      </w:r>
      <w:r>
        <w:rPr>
          <w:rFonts w:cs="Times New Roman" w:hint="eastAsia"/>
          <w:color w:val="000000" w:themeColor="text1"/>
          <w:kern w:val="0"/>
          <w:szCs w:val="32"/>
        </w:rPr>
        <w:t>d</w:t>
      </w:r>
      <w:r>
        <w:rPr>
          <w:rFonts w:cs="Times New Roman"/>
          <w:color w:val="000000" w:themeColor="text1"/>
          <w:kern w:val="0"/>
          <w:szCs w:val="32"/>
        </w:rPr>
        <w:t>ipa</w:t>
      </w:r>
      <w:r>
        <w:rPr>
          <w:rFonts w:cs="Times New Roman" w:hint="eastAsia"/>
          <w:color w:val="000000" w:themeColor="text1"/>
          <w:kern w:val="0"/>
          <w:szCs w:val="32"/>
        </w:rPr>
        <w:t>.</w:t>
      </w:r>
      <w:r>
        <w:rPr>
          <w:rFonts w:cs="Times New Roman"/>
          <w:color w:val="000000" w:themeColor="text1"/>
          <w:kern w:val="0"/>
          <w:szCs w:val="32"/>
        </w:rPr>
        <w:t>co@jingjinji.cn</w:t>
      </w:r>
    </w:p>
    <w:p w:rsidR="00833ECD" w:rsidRDefault="00833ECD" w:rsidP="00833ECD">
      <w:pPr>
        <w:snapToGrid w:val="0"/>
        <w:spacing w:line="324" w:lineRule="auto"/>
        <w:ind w:firstLineChars="0" w:firstLine="641"/>
        <w:rPr>
          <w:rFonts w:cs="Times New Roman"/>
          <w:color w:val="000000" w:themeColor="text1"/>
          <w:kern w:val="0"/>
          <w:szCs w:val="32"/>
        </w:rPr>
      </w:pPr>
      <w:r>
        <w:rPr>
          <w:rFonts w:cs="Times New Roman" w:hint="eastAsia"/>
          <w:color w:val="000000" w:themeColor="text1"/>
          <w:kern w:val="0"/>
          <w:szCs w:val="32"/>
        </w:rPr>
        <w:t>电</w:t>
      </w:r>
      <w:r>
        <w:rPr>
          <w:rFonts w:cs="Times New Roman" w:hint="eastAsia"/>
          <w:color w:val="000000" w:themeColor="text1"/>
          <w:kern w:val="0"/>
          <w:szCs w:val="32"/>
        </w:rPr>
        <w:t xml:space="preserve"> </w:t>
      </w:r>
      <w:r>
        <w:rPr>
          <w:rFonts w:cs="Times New Roman"/>
          <w:color w:val="000000" w:themeColor="text1"/>
          <w:kern w:val="0"/>
          <w:szCs w:val="32"/>
        </w:rPr>
        <w:t xml:space="preserve"> </w:t>
      </w:r>
      <w:r>
        <w:rPr>
          <w:rFonts w:cs="Times New Roman" w:hint="eastAsia"/>
          <w:color w:val="000000" w:themeColor="text1"/>
          <w:kern w:val="0"/>
          <w:szCs w:val="32"/>
        </w:rPr>
        <w:t>话：</w:t>
      </w:r>
      <w:r>
        <w:rPr>
          <w:rFonts w:cs="Times New Roman"/>
          <w:color w:val="000000" w:themeColor="text1"/>
          <w:kern w:val="0"/>
          <w:szCs w:val="32"/>
        </w:rPr>
        <w:t>010-60976510</w:t>
      </w:r>
      <w:r>
        <w:rPr>
          <w:rFonts w:cs="Times New Roman" w:hint="eastAsia"/>
          <w:color w:val="000000" w:themeColor="text1"/>
          <w:kern w:val="0"/>
          <w:szCs w:val="32"/>
        </w:rPr>
        <w:t>、</w:t>
      </w:r>
      <w:r>
        <w:rPr>
          <w:rFonts w:cs="Times New Roman" w:hint="eastAsia"/>
          <w:color w:val="000000" w:themeColor="text1"/>
          <w:kern w:val="0"/>
          <w:szCs w:val="32"/>
        </w:rPr>
        <w:t>15601068239</w:t>
      </w:r>
    </w:p>
    <w:p w:rsidR="00833ECD" w:rsidRDefault="00833ECD" w:rsidP="00833ECD">
      <w:pPr>
        <w:snapToGrid w:val="0"/>
        <w:spacing w:line="324" w:lineRule="auto"/>
        <w:ind w:firstLineChars="0" w:firstLine="641"/>
        <w:rPr>
          <w:rFonts w:cs="Times New Roman"/>
          <w:color w:val="000000" w:themeColor="text1"/>
          <w:kern w:val="0"/>
          <w:szCs w:val="32"/>
        </w:rPr>
      </w:pPr>
      <w:r>
        <w:rPr>
          <w:rFonts w:cs="Times New Roman" w:hint="eastAsia"/>
          <w:color w:val="000000" w:themeColor="text1"/>
          <w:kern w:val="0"/>
          <w:szCs w:val="32"/>
        </w:rPr>
        <w:t>地</w:t>
      </w:r>
      <w:r>
        <w:rPr>
          <w:rFonts w:cs="Times New Roman" w:hint="eastAsia"/>
          <w:color w:val="000000" w:themeColor="text1"/>
          <w:kern w:val="0"/>
          <w:szCs w:val="32"/>
        </w:rPr>
        <w:t xml:space="preserve"> </w:t>
      </w:r>
      <w:r>
        <w:rPr>
          <w:rFonts w:cs="Times New Roman"/>
          <w:color w:val="000000" w:themeColor="text1"/>
          <w:kern w:val="0"/>
          <w:szCs w:val="32"/>
        </w:rPr>
        <w:t xml:space="preserve"> </w:t>
      </w:r>
      <w:r>
        <w:rPr>
          <w:rFonts w:cs="Times New Roman" w:hint="eastAsia"/>
          <w:color w:val="000000" w:themeColor="text1"/>
          <w:kern w:val="0"/>
          <w:szCs w:val="32"/>
        </w:rPr>
        <w:t>址：北京市海淀区东升科技园北街</w:t>
      </w:r>
      <w:r>
        <w:rPr>
          <w:rFonts w:cs="Times New Roman" w:hint="eastAsia"/>
          <w:color w:val="000000" w:themeColor="text1"/>
          <w:kern w:val="0"/>
          <w:szCs w:val="32"/>
        </w:rPr>
        <w:t>6</w:t>
      </w:r>
      <w:r>
        <w:rPr>
          <w:rFonts w:cs="Times New Roman" w:hint="eastAsia"/>
          <w:color w:val="000000" w:themeColor="text1"/>
          <w:kern w:val="0"/>
          <w:szCs w:val="32"/>
        </w:rPr>
        <w:t>号院</w:t>
      </w:r>
      <w:r>
        <w:rPr>
          <w:rFonts w:cs="Times New Roman" w:hint="eastAsia"/>
          <w:color w:val="000000" w:themeColor="text1"/>
          <w:kern w:val="0"/>
          <w:szCs w:val="32"/>
        </w:rPr>
        <w:t>9</w:t>
      </w:r>
      <w:r>
        <w:rPr>
          <w:rFonts w:cs="Times New Roman" w:hint="eastAsia"/>
          <w:color w:val="000000" w:themeColor="text1"/>
          <w:kern w:val="0"/>
          <w:szCs w:val="32"/>
        </w:rPr>
        <w:t>号楼</w:t>
      </w:r>
    </w:p>
    <w:p w:rsidR="00833ECD" w:rsidRDefault="00833ECD" w:rsidP="00833ECD">
      <w:pPr>
        <w:pStyle w:val="a7"/>
        <w:numPr>
          <w:ilvl w:val="0"/>
          <w:numId w:val="12"/>
        </w:numPr>
        <w:snapToGrid w:val="0"/>
        <w:spacing w:line="324" w:lineRule="auto"/>
        <w:ind w:firstLineChars="0"/>
        <w:rPr>
          <w:rFonts w:cs="Times New Roman"/>
          <w:kern w:val="0"/>
          <w:szCs w:val="32"/>
        </w:rPr>
      </w:pPr>
      <w:r>
        <w:rPr>
          <w:rFonts w:hint="eastAsia"/>
        </w:rPr>
        <w:t>上海颠覆性技术创新中心</w:t>
      </w:r>
    </w:p>
    <w:p w:rsidR="00833ECD" w:rsidRDefault="00833ECD" w:rsidP="00833ECD">
      <w:pPr>
        <w:pStyle w:val="a7"/>
        <w:snapToGrid w:val="0"/>
        <w:spacing w:line="324" w:lineRule="auto"/>
        <w:ind w:firstLine="640"/>
        <w:rPr>
          <w:rFonts w:cs="Times New Roman"/>
          <w:kern w:val="0"/>
          <w:szCs w:val="32"/>
        </w:rPr>
      </w:pPr>
      <w:r>
        <w:rPr>
          <w:rFonts w:cs="Times New Roman" w:hint="eastAsia"/>
          <w:kern w:val="0"/>
          <w:szCs w:val="32"/>
        </w:rPr>
        <w:t>联系人：刘娜</w:t>
      </w:r>
    </w:p>
    <w:p w:rsidR="00833ECD" w:rsidRDefault="00833ECD" w:rsidP="00833ECD">
      <w:pPr>
        <w:pStyle w:val="a7"/>
        <w:snapToGrid w:val="0"/>
        <w:spacing w:line="324" w:lineRule="auto"/>
        <w:ind w:firstLine="640"/>
        <w:rPr>
          <w:rFonts w:cs="Times New Roman"/>
          <w:kern w:val="0"/>
          <w:szCs w:val="32"/>
        </w:rPr>
      </w:pPr>
      <w:r>
        <w:rPr>
          <w:rFonts w:cs="Times New Roman" w:hint="eastAsia"/>
          <w:kern w:val="0"/>
          <w:szCs w:val="32"/>
        </w:rPr>
        <w:t>邮</w:t>
      </w:r>
      <w:r>
        <w:rPr>
          <w:rFonts w:cs="Times New Roman" w:hint="eastAsia"/>
          <w:kern w:val="0"/>
          <w:szCs w:val="32"/>
        </w:rPr>
        <w:t xml:space="preserve"> </w:t>
      </w:r>
      <w:r>
        <w:rPr>
          <w:rFonts w:cs="Times New Roman"/>
          <w:kern w:val="0"/>
          <w:szCs w:val="32"/>
        </w:rPr>
        <w:t xml:space="preserve"> </w:t>
      </w:r>
      <w:r>
        <w:rPr>
          <w:rFonts w:cs="Times New Roman" w:hint="eastAsia"/>
          <w:kern w:val="0"/>
          <w:szCs w:val="32"/>
        </w:rPr>
        <w:t>箱：</w:t>
      </w:r>
      <w:r>
        <w:rPr>
          <w:rFonts w:cs="Times New Roman"/>
          <w:kern w:val="0"/>
          <w:szCs w:val="32"/>
        </w:rPr>
        <w:t>liun@jingjinji.cn</w:t>
      </w:r>
    </w:p>
    <w:p w:rsidR="00833ECD" w:rsidRDefault="00833ECD" w:rsidP="00833ECD">
      <w:pPr>
        <w:snapToGrid w:val="0"/>
        <w:spacing w:line="324" w:lineRule="auto"/>
        <w:ind w:firstLineChars="0" w:firstLine="641"/>
        <w:rPr>
          <w:rFonts w:cs="Times New Roman"/>
          <w:kern w:val="0"/>
          <w:szCs w:val="32"/>
        </w:rPr>
      </w:pPr>
      <w:r>
        <w:rPr>
          <w:rFonts w:cs="Times New Roman" w:hint="eastAsia"/>
          <w:kern w:val="0"/>
          <w:szCs w:val="32"/>
        </w:rPr>
        <w:t>电</w:t>
      </w:r>
      <w:r>
        <w:rPr>
          <w:rFonts w:cs="Times New Roman" w:hint="eastAsia"/>
          <w:kern w:val="0"/>
          <w:szCs w:val="32"/>
        </w:rPr>
        <w:t xml:space="preserve"> </w:t>
      </w:r>
      <w:r>
        <w:rPr>
          <w:rFonts w:cs="Times New Roman"/>
          <w:kern w:val="0"/>
          <w:szCs w:val="32"/>
        </w:rPr>
        <w:t xml:space="preserve"> </w:t>
      </w:r>
      <w:r>
        <w:rPr>
          <w:rFonts w:cs="Times New Roman" w:hint="eastAsia"/>
          <w:kern w:val="0"/>
          <w:szCs w:val="32"/>
        </w:rPr>
        <w:t>话：</w:t>
      </w:r>
      <w:r>
        <w:rPr>
          <w:rFonts w:cs="Times New Roman"/>
          <w:kern w:val="0"/>
          <w:szCs w:val="32"/>
        </w:rPr>
        <w:t>021-52270905-818</w:t>
      </w:r>
      <w:r>
        <w:rPr>
          <w:rFonts w:cs="Times New Roman" w:hint="eastAsia"/>
          <w:kern w:val="0"/>
          <w:szCs w:val="32"/>
        </w:rPr>
        <w:t>、</w:t>
      </w:r>
      <w:r>
        <w:rPr>
          <w:rFonts w:cs="Times New Roman" w:hint="eastAsia"/>
          <w:kern w:val="0"/>
          <w:szCs w:val="32"/>
        </w:rPr>
        <w:t>18916607531</w:t>
      </w:r>
    </w:p>
    <w:p w:rsidR="00833ECD" w:rsidRDefault="00833ECD" w:rsidP="00833ECD">
      <w:pPr>
        <w:pStyle w:val="a7"/>
        <w:snapToGrid w:val="0"/>
        <w:spacing w:line="324" w:lineRule="auto"/>
        <w:ind w:firstLine="640"/>
        <w:rPr>
          <w:rFonts w:cs="Times New Roman"/>
          <w:kern w:val="0"/>
          <w:szCs w:val="32"/>
        </w:rPr>
      </w:pPr>
      <w:r>
        <w:rPr>
          <w:rFonts w:cs="Times New Roman" w:hint="eastAsia"/>
          <w:kern w:val="0"/>
          <w:szCs w:val="32"/>
        </w:rPr>
        <w:t>地</w:t>
      </w:r>
      <w:r>
        <w:rPr>
          <w:rFonts w:cs="Times New Roman" w:hint="eastAsia"/>
          <w:kern w:val="0"/>
          <w:szCs w:val="32"/>
        </w:rPr>
        <w:t xml:space="preserve"> </w:t>
      </w:r>
      <w:r>
        <w:rPr>
          <w:rFonts w:cs="Times New Roman"/>
          <w:kern w:val="0"/>
          <w:szCs w:val="32"/>
        </w:rPr>
        <w:t xml:space="preserve"> </w:t>
      </w:r>
      <w:r>
        <w:rPr>
          <w:rFonts w:cs="Times New Roman" w:hint="eastAsia"/>
          <w:kern w:val="0"/>
          <w:szCs w:val="32"/>
        </w:rPr>
        <w:t>址：上海市闵行区田林路</w:t>
      </w:r>
      <w:r>
        <w:rPr>
          <w:rFonts w:cs="Times New Roman" w:hint="eastAsia"/>
          <w:kern w:val="0"/>
          <w:szCs w:val="32"/>
        </w:rPr>
        <w:t>1015</w:t>
      </w:r>
      <w:r>
        <w:rPr>
          <w:rFonts w:cs="Times New Roman" w:hint="eastAsia"/>
          <w:kern w:val="0"/>
          <w:szCs w:val="32"/>
        </w:rPr>
        <w:t>号上海科技绿洲</w:t>
      </w:r>
      <w:r>
        <w:rPr>
          <w:rFonts w:cs="Times New Roman" w:hint="eastAsia"/>
          <w:kern w:val="0"/>
          <w:szCs w:val="32"/>
        </w:rPr>
        <w:t>6</w:t>
      </w:r>
      <w:r>
        <w:rPr>
          <w:rFonts w:cs="Times New Roman" w:hint="eastAsia"/>
          <w:kern w:val="0"/>
          <w:szCs w:val="32"/>
        </w:rPr>
        <w:t>期</w:t>
      </w:r>
      <w:r>
        <w:rPr>
          <w:rFonts w:cs="Times New Roman" w:hint="eastAsia"/>
          <w:kern w:val="0"/>
          <w:szCs w:val="32"/>
        </w:rPr>
        <w:t>42</w:t>
      </w:r>
      <w:r>
        <w:rPr>
          <w:rFonts w:cs="Times New Roman" w:hint="eastAsia"/>
          <w:kern w:val="0"/>
          <w:szCs w:val="32"/>
        </w:rPr>
        <w:t>号楼</w:t>
      </w:r>
      <w:r>
        <w:rPr>
          <w:rFonts w:cs="Times New Roman" w:hint="eastAsia"/>
          <w:kern w:val="0"/>
          <w:szCs w:val="32"/>
        </w:rPr>
        <w:t>4</w:t>
      </w:r>
      <w:r>
        <w:rPr>
          <w:rFonts w:cs="Times New Roman" w:hint="eastAsia"/>
          <w:kern w:val="0"/>
          <w:szCs w:val="32"/>
        </w:rPr>
        <w:t>楼</w:t>
      </w:r>
    </w:p>
    <w:p w:rsidR="00833ECD" w:rsidRDefault="00833ECD" w:rsidP="00833ECD">
      <w:pPr>
        <w:pStyle w:val="a7"/>
        <w:numPr>
          <w:ilvl w:val="0"/>
          <w:numId w:val="12"/>
        </w:numPr>
        <w:snapToGrid w:val="0"/>
        <w:spacing w:line="324" w:lineRule="auto"/>
        <w:ind w:firstLineChars="0"/>
      </w:pPr>
      <w:r>
        <w:rPr>
          <w:rFonts w:hint="eastAsia"/>
        </w:rPr>
        <w:t>广州颠覆性技术创新中心</w:t>
      </w:r>
    </w:p>
    <w:p w:rsidR="00833ECD" w:rsidRDefault="00833ECD" w:rsidP="00833ECD">
      <w:pPr>
        <w:pStyle w:val="a7"/>
        <w:snapToGrid w:val="0"/>
        <w:spacing w:line="324" w:lineRule="auto"/>
        <w:ind w:firstLine="640"/>
        <w:rPr>
          <w:rFonts w:cs="Times New Roman"/>
          <w:kern w:val="0"/>
          <w:szCs w:val="32"/>
        </w:rPr>
      </w:pPr>
      <w:r>
        <w:rPr>
          <w:rFonts w:cs="Times New Roman" w:hint="eastAsia"/>
          <w:kern w:val="0"/>
          <w:szCs w:val="32"/>
        </w:rPr>
        <w:t>联系人：吴霆龙</w:t>
      </w:r>
    </w:p>
    <w:p w:rsidR="00833ECD" w:rsidRDefault="00833ECD" w:rsidP="00833ECD">
      <w:pPr>
        <w:pStyle w:val="a7"/>
        <w:snapToGrid w:val="0"/>
        <w:spacing w:line="324" w:lineRule="auto"/>
        <w:ind w:firstLine="640"/>
        <w:rPr>
          <w:rFonts w:cs="Times New Roman"/>
          <w:kern w:val="0"/>
          <w:szCs w:val="32"/>
        </w:rPr>
      </w:pPr>
      <w:r>
        <w:rPr>
          <w:rFonts w:cs="Times New Roman" w:hint="eastAsia"/>
          <w:kern w:val="0"/>
          <w:szCs w:val="32"/>
        </w:rPr>
        <w:t>邮</w:t>
      </w:r>
      <w:r>
        <w:rPr>
          <w:rFonts w:cs="Times New Roman" w:hint="eastAsia"/>
          <w:kern w:val="0"/>
          <w:szCs w:val="32"/>
        </w:rPr>
        <w:t xml:space="preserve"> </w:t>
      </w:r>
      <w:r>
        <w:rPr>
          <w:rFonts w:cs="Times New Roman"/>
          <w:kern w:val="0"/>
          <w:szCs w:val="32"/>
        </w:rPr>
        <w:t xml:space="preserve"> </w:t>
      </w:r>
      <w:r>
        <w:rPr>
          <w:rFonts w:cs="Times New Roman" w:hint="eastAsia"/>
          <w:kern w:val="0"/>
          <w:szCs w:val="32"/>
        </w:rPr>
        <w:t>箱：</w:t>
      </w:r>
      <w:r>
        <w:rPr>
          <w:rFonts w:cs="Times New Roman" w:hint="eastAsia"/>
          <w:kern w:val="0"/>
          <w:szCs w:val="32"/>
        </w:rPr>
        <w:t>wutl</w:t>
      </w:r>
      <w:r>
        <w:rPr>
          <w:rFonts w:cs="Times New Roman"/>
          <w:kern w:val="0"/>
          <w:szCs w:val="32"/>
        </w:rPr>
        <w:t>@jingjinji.cn</w:t>
      </w:r>
    </w:p>
    <w:p w:rsidR="00833ECD" w:rsidRDefault="00833ECD" w:rsidP="00833ECD">
      <w:pPr>
        <w:snapToGrid w:val="0"/>
        <w:spacing w:line="324" w:lineRule="auto"/>
        <w:ind w:firstLineChars="0" w:firstLine="641"/>
        <w:rPr>
          <w:rFonts w:cs="Times New Roman"/>
          <w:kern w:val="0"/>
          <w:szCs w:val="32"/>
        </w:rPr>
      </w:pPr>
      <w:r>
        <w:rPr>
          <w:rFonts w:cs="Times New Roman" w:hint="eastAsia"/>
          <w:kern w:val="0"/>
          <w:szCs w:val="32"/>
        </w:rPr>
        <w:t>电</w:t>
      </w:r>
      <w:r>
        <w:rPr>
          <w:rFonts w:cs="Times New Roman" w:hint="eastAsia"/>
          <w:kern w:val="0"/>
          <w:szCs w:val="32"/>
        </w:rPr>
        <w:t xml:space="preserve"> </w:t>
      </w:r>
      <w:r>
        <w:rPr>
          <w:rFonts w:cs="Times New Roman"/>
          <w:kern w:val="0"/>
          <w:szCs w:val="32"/>
        </w:rPr>
        <w:t xml:space="preserve"> </w:t>
      </w:r>
      <w:r>
        <w:rPr>
          <w:rFonts w:cs="Times New Roman" w:hint="eastAsia"/>
          <w:kern w:val="0"/>
          <w:szCs w:val="32"/>
        </w:rPr>
        <w:t>话：</w:t>
      </w:r>
      <w:r>
        <w:rPr>
          <w:rFonts w:cs="Times New Roman"/>
          <w:kern w:val="0"/>
          <w:szCs w:val="32"/>
        </w:rPr>
        <w:t>020-82</w:t>
      </w:r>
      <w:r>
        <w:rPr>
          <w:rFonts w:cs="Times New Roman" w:hint="eastAsia"/>
          <w:kern w:val="0"/>
          <w:szCs w:val="32"/>
        </w:rPr>
        <w:t>099813</w:t>
      </w:r>
      <w:r>
        <w:rPr>
          <w:rFonts w:cs="Times New Roman" w:hint="eastAsia"/>
          <w:kern w:val="0"/>
          <w:szCs w:val="32"/>
        </w:rPr>
        <w:t>、</w:t>
      </w:r>
      <w:r>
        <w:rPr>
          <w:rFonts w:cs="Times New Roman" w:hint="eastAsia"/>
          <w:kern w:val="0"/>
          <w:szCs w:val="32"/>
        </w:rPr>
        <w:t>13048018586</w:t>
      </w:r>
    </w:p>
    <w:p w:rsidR="00833ECD" w:rsidRDefault="00833ECD" w:rsidP="00833ECD">
      <w:pPr>
        <w:pStyle w:val="a7"/>
        <w:snapToGrid w:val="0"/>
        <w:spacing w:line="324" w:lineRule="auto"/>
        <w:ind w:firstLine="640"/>
        <w:rPr>
          <w:rFonts w:cs="Times New Roman"/>
          <w:kern w:val="0"/>
          <w:szCs w:val="32"/>
        </w:rPr>
      </w:pPr>
      <w:r>
        <w:rPr>
          <w:rFonts w:cs="Times New Roman" w:hint="eastAsia"/>
          <w:kern w:val="0"/>
          <w:szCs w:val="32"/>
        </w:rPr>
        <w:t>地</w:t>
      </w:r>
      <w:r>
        <w:rPr>
          <w:rFonts w:cs="Times New Roman" w:hint="eastAsia"/>
          <w:kern w:val="0"/>
          <w:szCs w:val="32"/>
        </w:rPr>
        <w:t xml:space="preserve"> </w:t>
      </w:r>
      <w:r>
        <w:rPr>
          <w:rFonts w:cs="Times New Roman"/>
          <w:kern w:val="0"/>
          <w:szCs w:val="32"/>
        </w:rPr>
        <w:t xml:space="preserve"> </w:t>
      </w:r>
      <w:r>
        <w:rPr>
          <w:rFonts w:cs="Times New Roman" w:hint="eastAsia"/>
          <w:kern w:val="0"/>
          <w:szCs w:val="32"/>
        </w:rPr>
        <w:t>址：广州市黄埔区中新知识城粤港澳大湾区纳米创新产业集聚区纳米谷一期</w:t>
      </w:r>
      <w:r>
        <w:rPr>
          <w:rFonts w:cs="Times New Roman" w:hint="eastAsia"/>
          <w:kern w:val="0"/>
          <w:szCs w:val="32"/>
        </w:rPr>
        <w:t>2</w:t>
      </w:r>
      <w:r>
        <w:rPr>
          <w:rFonts w:cs="Times New Roman" w:hint="eastAsia"/>
          <w:kern w:val="0"/>
          <w:szCs w:val="32"/>
        </w:rPr>
        <w:t>号楼</w:t>
      </w:r>
      <w:r>
        <w:rPr>
          <w:rFonts w:cs="Times New Roman" w:hint="eastAsia"/>
          <w:kern w:val="0"/>
          <w:szCs w:val="32"/>
        </w:rPr>
        <w:t>3</w:t>
      </w:r>
      <w:r>
        <w:rPr>
          <w:rFonts w:cs="Times New Roman" w:hint="eastAsia"/>
          <w:kern w:val="0"/>
          <w:szCs w:val="32"/>
        </w:rPr>
        <w:t>楼</w:t>
      </w:r>
    </w:p>
    <w:p w:rsidR="00833ECD" w:rsidRDefault="00833ECD" w:rsidP="00833ECD">
      <w:pPr>
        <w:pStyle w:val="a7"/>
        <w:numPr>
          <w:ilvl w:val="2"/>
          <w:numId w:val="11"/>
        </w:numPr>
        <w:snapToGrid w:val="0"/>
        <w:spacing w:line="324" w:lineRule="auto"/>
        <w:rPr>
          <w:rFonts w:ascii="楷体" w:eastAsia="楷体" w:hAnsi="楷体"/>
        </w:rPr>
      </w:pPr>
      <w:r>
        <w:rPr>
          <w:rFonts w:ascii="楷体" w:eastAsia="楷体" w:hAnsi="楷体" w:hint="eastAsia"/>
        </w:rPr>
        <w:t>赛事监督</w:t>
      </w:r>
    </w:p>
    <w:p w:rsidR="00833ECD" w:rsidRDefault="00833ECD" w:rsidP="00833ECD">
      <w:pPr>
        <w:snapToGrid w:val="0"/>
        <w:spacing w:line="324" w:lineRule="auto"/>
        <w:ind w:firstLineChars="0" w:firstLine="641"/>
        <w:rPr>
          <w:rFonts w:cs="Times New Roman"/>
          <w:color w:val="000000" w:themeColor="text1"/>
          <w:kern w:val="0"/>
          <w:szCs w:val="32"/>
        </w:rPr>
      </w:pPr>
      <w:r>
        <w:rPr>
          <w:rFonts w:cs="Times New Roman" w:hint="eastAsia"/>
          <w:color w:val="000000" w:themeColor="text1"/>
          <w:kern w:val="0"/>
          <w:szCs w:val="32"/>
        </w:rPr>
        <w:t>联系人：臧倩</w:t>
      </w:r>
    </w:p>
    <w:p w:rsidR="00833ECD" w:rsidRDefault="00833ECD" w:rsidP="00833ECD">
      <w:pPr>
        <w:snapToGrid w:val="0"/>
        <w:spacing w:line="324" w:lineRule="auto"/>
        <w:ind w:firstLineChars="0" w:firstLine="641"/>
        <w:rPr>
          <w:rFonts w:cs="Times New Roman"/>
          <w:color w:val="000000" w:themeColor="text1"/>
          <w:kern w:val="0"/>
          <w:szCs w:val="32"/>
        </w:rPr>
      </w:pPr>
      <w:r>
        <w:rPr>
          <w:rFonts w:cs="Times New Roman" w:hint="eastAsia"/>
          <w:color w:val="000000" w:themeColor="text1"/>
          <w:kern w:val="0"/>
          <w:szCs w:val="32"/>
        </w:rPr>
        <w:t>邮</w:t>
      </w:r>
      <w:r>
        <w:rPr>
          <w:rFonts w:cs="Times New Roman" w:hint="eastAsia"/>
          <w:color w:val="000000" w:themeColor="text1"/>
          <w:kern w:val="0"/>
          <w:szCs w:val="32"/>
        </w:rPr>
        <w:t xml:space="preserve"> </w:t>
      </w:r>
      <w:r>
        <w:rPr>
          <w:rFonts w:cs="Times New Roman"/>
          <w:color w:val="000000" w:themeColor="text1"/>
          <w:kern w:val="0"/>
          <w:szCs w:val="32"/>
        </w:rPr>
        <w:t xml:space="preserve"> </w:t>
      </w:r>
      <w:r>
        <w:rPr>
          <w:rFonts w:cs="Times New Roman" w:hint="eastAsia"/>
          <w:color w:val="000000" w:themeColor="text1"/>
          <w:kern w:val="0"/>
          <w:szCs w:val="32"/>
        </w:rPr>
        <w:t>箱：</w:t>
      </w:r>
      <w:r>
        <w:rPr>
          <w:rFonts w:cs="Times New Roman" w:hint="eastAsia"/>
          <w:color w:val="000000" w:themeColor="text1"/>
          <w:kern w:val="0"/>
          <w:szCs w:val="32"/>
        </w:rPr>
        <w:t>d</w:t>
      </w:r>
      <w:r>
        <w:rPr>
          <w:rFonts w:cs="Times New Roman"/>
          <w:color w:val="000000" w:themeColor="text1"/>
          <w:kern w:val="0"/>
          <w:szCs w:val="32"/>
        </w:rPr>
        <w:t>ipa</w:t>
      </w:r>
      <w:r>
        <w:rPr>
          <w:rFonts w:cs="Times New Roman" w:hint="eastAsia"/>
          <w:color w:val="000000" w:themeColor="text1"/>
          <w:kern w:val="0"/>
          <w:szCs w:val="32"/>
        </w:rPr>
        <w:t>.</w:t>
      </w:r>
      <w:r>
        <w:rPr>
          <w:rFonts w:cs="Times New Roman"/>
          <w:color w:val="000000" w:themeColor="text1"/>
          <w:kern w:val="0"/>
          <w:szCs w:val="32"/>
        </w:rPr>
        <w:t>so@jingjinji.cn</w:t>
      </w:r>
    </w:p>
    <w:p w:rsidR="00833ECD" w:rsidRDefault="00833ECD" w:rsidP="00833ECD">
      <w:pPr>
        <w:snapToGrid w:val="0"/>
        <w:spacing w:line="324" w:lineRule="auto"/>
        <w:ind w:firstLineChars="0" w:firstLine="641"/>
        <w:rPr>
          <w:rFonts w:cs="Times New Roman"/>
          <w:color w:val="000000" w:themeColor="text1"/>
          <w:kern w:val="0"/>
          <w:szCs w:val="32"/>
        </w:rPr>
      </w:pPr>
      <w:r>
        <w:rPr>
          <w:rFonts w:cs="Times New Roman" w:hint="eastAsia"/>
          <w:color w:val="000000" w:themeColor="text1"/>
          <w:kern w:val="0"/>
          <w:szCs w:val="32"/>
        </w:rPr>
        <w:lastRenderedPageBreak/>
        <w:t>电</w:t>
      </w:r>
      <w:r>
        <w:rPr>
          <w:rFonts w:cs="Times New Roman" w:hint="eastAsia"/>
          <w:color w:val="000000" w:themeColor="text1"/>
          <w:kern w:val="0"/>
          <w:szCs w:val="32"/>
        </w:rPr>
        <w:t xml:space="preserve"> </w:t>
      </w:r>
      <w:r>
        <w:rPr>
          <w:rFonts w:cs="Times New Roman"/>
          <w:color w:val="000000" w:themeColor="text1"/>
          <w:kern w:val="0"/>
          <w:szCs w:val="32"/>
        </w:rPr>
        <w:t xml:space="preserve"> </w:t>
      </w:r>
      <w:r>
        <w:rPr>
          <w:rFonts w:cs="Times New Roman" w:hint="eastAsia"/>
          <w:color w:val="000000" w:themeColor="text1"/>
          <w:kern w:val="0"/>
          <w:szCs w:val="32"/>
        </w:rPr>
        <w:t>话：</w:t>
      </w:r>
      <w:r>
        <w:rPr>
          <w:rFonts w:cs="Times New Roman"/>
          <w:color w:val="000000" w:themeColor="text1"/>
          <w:kern w:val="0"/>
          <w:szCs w:val="32"/>
        </w:rPr>
        <w:t>010-609765</w:t>
      </w:r>
      <w:r>
        <w:rPr>
          <w:rFonts w:cs="Times New Roman" w:hint="eastAsia"/>
          <w:color w:val="000000" w:themeColor="text1"/>
          <w:kern w:val="0"/>
          <w:szCs w:val="32"/>
        </w:rPr>
        <w:t>11</w:t>
      </w:r>
      <w:r>
        <w:rPr>
          <w:rFonts w:cs="Times New Roman" w:hint="eastAsia"/>
          <w:color w:val="000000" w:themeColor="text1"/>
          <w:kern w:val="0"/>
          <w:szCs w:val="32"/>
        </w:rPr>
        <w:t>、</w:t>
      </w:r>
      <w:r>
        <w:rPr>
          <w:rFonts w:cs="Times New Roman" w:hint="eastAsia"/>
          <w:color w:val="000000" w:themeColor="text1"/>
          <w:kern w:val="0"/>
          <w:szCs w:val="32"/>
        </w:rPr>
        <w:t>15611541166</w:t>
      </w:r>
    </w:p>
    <w:p w:rsidR="00833ECD" w:rsidRDefault="00833ECD" w:rsidP="00833ECD">
      <w:pPr>
        <w:snapToGrid w:val="0"/>
        <w:spacing w:afterLines="100" w:after="312" w:line="324" w:lineRule="auto"/>
        <w:ind w:firstLineChars="0" w:firstLine="641"/>
        <w:rPr>
          <w:rFonts w:cs="Times New Roman"/>
          <w:color w:val="000000" w:themeColor="text1"/>
          <w:kern w:val="0"/>
          <w:szCs w:val="32"/>
        </w:rPr>
      </w:pPr>
      <w:r>
        <w:rPr>
          <w:rFonts w:cs="Times New Roman" w:hint="eastAsia"/>
          <w:color w:val="000000" w:themeColor="text1"/>
          <w:kern w:val="0"/>
          <w:szCs w:val="32"/>
        </w:rPr>
        <w:t>地</w:t>
      </w:r>
      <w:r>
        <w:rPr>
          <w:rFonts w:cs="Times New Roman" w:hint="eastAsia"/>
          <w:color w:val="000000" w:themeColor="text1"/>
          <w:kern w:val="0"/>
          <w:szCs w:val="32"/>
        </w:rPr>
        <w:t xml:space="preserve"> </w:t>
      </w:r>
      <w:r>
        <w:rPr>
          <w:rFonts w:cs="Times New Roman"/>
          <w:color w:val="000000" w:themeColor="text1"/>
          <w:kern w:val="0"/>
          <w:szCs w:val="32"/>
        </w:rPr>
        <w:t xml:space="preserve"> </w:t>
      </w:r>
      <w:r>
        <w:rPr>
          <w:rFonts w:cs="Times New Roman" w:hint="eastAsia"/>
          <w:color w:val="000000" w:themeColor="text1"/>
          <w:kern w:val="0"/>
          <w:szCs w:val="32"/>
        </w:rPr>
        <w:t>址：北京市海淀区东升科技园北街</w:t>
      </w:r>
      <w:r>
        <w:rPr>
          <w:rFonts w:cs="Times New Roman" w:hint="eastAsia"/>
          <w:color w:val="000000" w:themeColor="text1"/>
          <w:kern w:val="0"/>
          <w:szCs w:val="32"/>
        </w:rPr>
        <w:t>6</w:t>
      </w:r>
      <w:r>
        <w:rPr>
          <w:rFonts w:cs="Times New Roman" w:hint="eastAsia"/>
          <w:color w:val="000000" w:themeColor="text1"/>
          <w:kern w:val="0"/>
          <w:szCs w:val="32"/>
        </w:rPr>
        <w:t>号院</w:t>
      </w:r>
      <w:r>
        <w:rPr>
          <w:rFonts w:cs="Times New Roman" w:hint="eastAsia"/>
          <w:color w:val="000000" w:themeColor="text1"/>
          <w:kern w:val="0"/>
          <w:szCs w:val="32"/>
        </w:rPr>
        <w:t>9</w:t>
      </w:r>
      <w:r>
        <w:rPr>
          <w:rFonts w:cs="Times New Roman" w:hint="eastAsia"/>
          <w:color w:val="000000" w:themeColor="text1"/>
          <w:kern w:val="0"/>
          <w:szCs w:val="32"/>
        </w:rPr>
        <w:t>号楼</w:t>
      </w:r>
    </w:p>
    <w:bookmarkEnd w:id="16"/>
    <w:p w:rsidR="008E5883" w:rsidRPr="00833ECD" w:rsidRDefault="008E5883">
      <w:pPr>
        <w:ind w:firstLine="640"/>
      </w:pPr>
    </w:p>
    <w:sectPr w:rsidR="008E5883" w:rsidRPr="00833E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D05" w:rsidRDefault="00E06D05" w:rsidP="00833ECD">
      <w:pPr>
        <w:spacing w:line="240" w:lineRule="auto"/>
        <w:ind w:firstLine="640"/>
      </w:pPr>
      <w:r>
        <w:separator/>
      </w:r>
    </w:p>
  </w:endnote>
  <w:endnote w:type="continuationSeparator" w:id="0">
    <w:p w:rsidR="00E06D05" w:rsidRDefault="00E06D05" w:rsidP="00833EC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D05" w:rsidRDefault="00E06D05" w:rsidP="00833ECD">
      <w:pPr>
        <w:spacing w:line="240" w:lineRule="auto"/>
        <w:ind w:firstLine="640"/>
      </w:pPr>
      <w:r>
        <w:separator/>
      </w:r>
    </w:p>
  </w:footnote>
  <w:footnote w:type="continuationSeparator" w:id="0">
    <w:p w:rsidR="00E06D05" w:rsidRDefault="00E06D05" w:rsidP="00833ECD">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253"/>
    <w:multiLevelType w:val="multilevel"/>
    <w:tmpl w:val="00782253"/>
    <w:lvl w:ilvl="0">
      <w:start w:val="1"/>
      <w:numFmt w:val="chineseCountingThousand"/>
      <w:suff w:val="nothing"/>
      <w:lvlText w:val="（%1）"/>
      <w:lvlJc w:val="left"/>
      <w:pPr>
        <w:ind w:left="0" w:firstLine="640"/>
      </w:pPr>
      <w:rPr>
        <w:rFonts w:hint="default"/>
        <w:b w:val="0"/>
        <w:bCs/>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E5374B"/>
    <w:multiLevelType w:val="multilevel"/>
    <w:tmpl w:val="09E5374B"/>
    <w:lvl w:ilvl="0">
      <w:start w:val="1"/>
      <w:numFmt w:val="decimal"/>
      <w:suff w:val="space"/>
      <w:lvlText w:val="%1."/>
      <w:lvlJc w:val="left"/>
      <w:pPr>
        <w:ind w:left="1080" w:hanging="440"/>
      </w:pPr>
      <w:rPr>
        <w:rFonts w:eastAsia="仿宋" w:hint="eastAsia"/>
        <w:b w:val="0"/>
        <w:bCs/>
        <w:i w:val="0"/>
        <w:sz w:val="32"/>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15:restartNumberingAfterBreak="0">
    <w:nsid w:val="1C3B2866"/>
    <w:multiLevelType w:val="multilevel"/>
    <w:tmpl w:val="1C3B2866"/>
    <w:lvl w:ilvl="0">
      <w:start w:val="1"/>
      <w:numFmt w:val="decimal"/>
      <w:suff w:val="space"/>
      <w:lvlText w:val="%1."/>
      <w:lvlJc w:val="left"/>
      <w:pPr>
        <w:ind w:left="0" w:firstLine="640"/>
      </w:pPr>
      <w:rPr>
        <w:rFonts w:eastAsia="仿宋" w:hint="eastAsia"/>
        <w:b w:val="0"/>
        <w:bCs/>
        <w:i w:val="0"/>
        <w:sz w:val="32"/>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247A2131"/>
    <w:multiLevelType w:val="multilevel"/>
    <w:tmpl w:val="247A2131"/>
    <w:lvl w:ilvl="0">
      <w:start w:val="1"/>
      <w:numFmt w:val="decimal"/>
      <w:suff w:val="space"/>
      <w:lvlText w:val="%1."/>
      <w:lvlJc w:val="left"/>
      <w:pPr>
        <w:ind w:left="1080" w:hanging="440"/>
      </w:pPr>
      <w:rPr>
        <w:rFonts w:eastAsia="仿宋" w:hint="eastAsia"/>
        <w:b w:val="0"/>
        <w:bCs/>
        <w:i w:val="0"/>
        <w:sz w:val="32"/>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4" w15:restartNumberingAfterBreak="0">
    <w:nsid w:val="300579F4"/>
    <w:multiLevelType w:val="multilevel"/>
    <w:tmpl w:val="300579F4"/>
    <w:lvl w:ilvl="0">
      <w:start w:val="1"/>
      <w:numFmt w:val="decimal"/>
      <w:suff w:val="space"/>
      <w:lvlText w:val="%1."/>
      <w:lvlJc w:val="left"/>
      <w:pPr>
        <w:ind w:left="0" w:firstLine="640"/>
      </w:pPr>
      <w:rPr>
        <w:rFonts w:eastAsia="仿宋" w:hint="eastAsia"/>
        <w:b w:val="0"/>
        <w:bCs/>
        <w:i w:val="0"/>
        <w:sz w:val="32"/>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3CF964F2"/>
    <w:multiLevelType w:val="multilevel"/>
    <w:tmpl w:val="3CF964F2"/>
    <w:lvl w:ilvl="0">
      <w:start w:val="1"/>
      <w:numFmt w:val="chineseCountingThousand"/>
      <w:lvlText w:val="（%1）"/>
      <w:lvlJc w:val="left"/>
      <w:pPr>
        <w:ind w:left="1060" w:hanging="420"/>
      </w:pPr>
      <w:rPr>
        <w:rFonts w:hint="default"/>
        <w:b/>
        <w:i w:val="0"/>
      </w:rPr>
    </w:lvl>
    <w:lvl w:ilvl="1">
      <w:start w:val="1"/>
      <w:numFmt w:val="lowerLetter"/>
      <w:lvlText w:val="%2)"/>
      <w:lvlJc w:val="left"/>
      <w:pPr>
        <w:ind w:left="1480" w:hanging="420"/>
      </w:pPr>
    </w:lvl>
    <w:lvl w:ilvl="2">
      <w:start w:val="1"/>
      <w:numFmt w:val="chineseCountingThousand"/>
      <w:suff w:val="nothing"/>
      <w:lvlText w:val="（%3）"/>
      <w:lvlJc w:val="left"/>
      <w:pPr>
        <w:ind w:left="0" w:firstLine="640"/>
      </w:pPr>
      <w:rPr>
        <w:rFonts w:ascii="楷体" w:eastAsia="楷体" w:hAnsi="楷体" w:hint="default"/>
        <w:b w:val="0"/>
        <w:bCs/>
        <w:i w:val="0"/>
      </w:r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9057DBE"/>
    <w:multiLevelType w:val="multilevel"/>
    <w:tmpl w:val="49057DBE"/>
    <w:lvl w:ilvl="0">
      <w:start w:val="1"/>
      <w:numFmt w:val="chineseCountingThousand"/>
      <w:lvlText w:val="（%1）"/>
      <w:lvlJc w:val="left"/>
      <w:pPr>
        <w:ind w:left="1060" w:hanging="420"/>
      </w:pPr>
      <w:rPr>
        <w:rFonts w:hint="default"/>
        <w:b/>
        <w:i w:val="0"/>
      </w:rPr>
    </w:lvl>
    <w:lvl w:ilvl="1">
      <w:start w:val="1"/>
      <w:numFmt w:val="chineseCountingThousand"/>
      <w:suff w:val="nothing"/>
      <w:lvlText w:val="（%2）"/>
      <w:lvlJc w:val="left"/>
      <w:pPr>
        <w:ind w:left="0" w:firstLine="640"/>
      </w:pPr>
      <w:rPr>
        <w:rFonts w:hint="default"/>
        <w:b w:val="0"/>
        <w:bCs/>
        <w:i w:val="0"/>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51B9690A"/>
    <w:multiLevelType w:val="multilevel"/>
    <w:tmpl w:val="51B9690A"/>
    <w:lvl w:ilvl="0">
      <w:start w:val="1"/>
      <w:numFmt w:val="chineseCountingThousand"/>
      <w:lvlText w:val="（%1）"/>
      <w:lvlJc w:val="left"/>
      <w:pPr>
        <w:ind w:left="1060" w:hanging="420"/>
      </w:pPr>
      <w:rPr>
        <w:rFonts w:hint="default"/>
        <w:b/>
        <w:i w:val="0"/>
      </w:rPr>
    </w:lvl>
    <w:lvl w:ilvl="1">
      <w:start w:val="1"/>
      <w:numFmt w:val="lowerLetter"/>
      <w:lvlText w:val="%2)"/>
      <w:lvlJc w:val="left"/>
      <w:pPr>
        <w:ind w:left="1480" w:hanging="420"/>
      </w:pPr>
    </w:lvl>
    <w:lvl w:ilvl="2">
      <w:start w:val="1"/>
      <w:numFmt w:val="chineseCountingThousand"/>
      <w:suff w:val="nothing"/>
      <w:lvlText w:val="（%3）"/>
      <w:lvlJc w:val="left"/>
      <w:pPr>
        <w:ind w:left="0" w:firstLine="640"/>
      </w:pPr>
      <w:rPr>
        <w:rFonts w:ascii="楷体" w:eastAsia="楷体" w:hAnsi="楷体" w:hint="default"/>
        <w:b w:val="0"/>
        <w:bCs/>
        <w:i w:val="0"/>
      </w:r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534A72B2"/>
    <w:multiLevelType w:val="multilevel"/>
    <w:tmpl w:val="534A72B2"/>
    <w:lvl w:ilvl="0">
      <w:start w:val="1"/>
      <w:numFmt w:val="chineseCountingThousand"/>
      <w:suff w:val="nothing"/>
      <w:lvlText w:val="（%1）"/>
      <w:lvlJc w:val="left"/>
      <w:pPr>
        <w:ind w:left="0" w:firstLine="640"/>
      </w:pPr>
      <w:rPr>
        <w:rFonts w:hint="default"/>
        <w:b w:val="0"/>
        <w:bCs/>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77C7728"/>
    <w:multiLevelType w:val="multilevel"/>
    <w:tmpl w:val="577C7728"/>
    <w:lvl w:ilvl="0">
      <w:start w:val="1"/>
      <w:numFmt w:val="decimal"/>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64DA3912"/>
    <w:multiLevelType w:val="multilevel"/>
    <w:tmpl w:val="64DA3912"/>
    <w:lvl w:ilvl="0">
      <w:start w:val="1"/>
      <w:numFmt w:val="chineseCountingThousand"/>
      <w:suff w:val="nothing"/>
      <w:lvlText w:val="%1、"/>
      <w:lvlJc w:val="left"/>
      <w:pPr>
        <w:ind w:left="0" w:firstLine="640"/>
      </w:pPr>
      <w:rPr>
        <w:rFonts w:ascii="黑体" w:eastAsia="黑体" w:hAnsi="黑体" w:hint="eastAsia"/>
      </w:rPr>
    </w:lvl>
    <w:lvl w:ilvl="1">
      <w:start w:val="1"/>
      <w:numFmt w:val="japaneseCounting"/>
      <w:lvlText w:val="(%2)"/>
      <w:lvlJc w:val="left"/>
      <w:pPr>
        <w:ind w:left="1780" w:hanging="720"/>
      </w:pPr>
      <w:rPr>
        <w:rFonts w:hint="default"/>
      </w:rPr>
    </w:lvl>
    <w:lvl w:ilvl="2">
      <w:start w:val="1"/>
      <w:numFmt w:val="japaneseCounting"/>
      <w:lvlText w:val="（%3）"/>
      <w:lvlJc w:val="left"/>
      <w:pPr>
        <w:ind w:left="2560" w:hanging="1080"/>
      </w:pPr>
      <w:rPr>
        <w:rFonts w:hint="default"/>
      </w:rPr>
    </w:lvl>
    <w:lvl w:ilvl="3">
      <w:start w:val="1"/>
      <w:numFmt w:val="japaneseCounting"/>
      <w:lvlText w:val="%4、"/>
      <w:lvlJc w:val="left"/>
      <w:pPr>
        <w:ind w:left="2620" w:hanging="720"/>
      </w:pPr>
      <w:rPr>
        <w:rFonts w:hint="default"/>
      </w:r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73BB1C64"/>
    <w:multiLevelType w:val="multilevel"/>
    <w:tmpl w:val="73BB1C64"/>
    <w:lvl w:ilvl="0">
      <w:start w:val="1"/>
      <w:numFmt w:val="chineseCountingThousand"/>
      <w:suff w:val="nothing"/>
      <w:lvlText w:val="（%1）"/>
      <w:lvlJc w:val="left"/>
      <w:pPr>
        <w:ind w:left="0" w:firstLine="640"/>
      </w:pPr>
      <w:rPr>
        <w:rFonts w:hint="default"/>
        <w:b w:val="0"/>
        <w:bCs/>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6"/>
  </w:num>
  <w:num w:numId="3">
    <w:abstractNumId w:val="0"/>
  </w:num>
  <w:num w:numId="4">
    <w:abstractNumId w:val="8"/>
  </w:num>
  <w:num w:numId="5">
    <w:abstractNumId w:val="11"/>
  </w:num>
  <w:num w:numId="6">
    <w:abstractNumId w:val="3"/>
  </w:num>
  <w:num w:numId="7">
    <w:abstractNumId w:val="9"/>
  </w:num>
  <w:num w:numId="8">
    <w:abstractNumId w:val="1"/>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9B"/>
    <w:rsid w:val="00833ECD"/>
    <w:rsid w:val="008E5883"/>
    <w:rsid w:val="00CC7F9B"/>
    <w:rsid w:val="00E0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C13B60-5B08-44D6-81EF-9BFB46CA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ECD"/>
    <w:pPr>
      <w:widowControl w:val="0"/>
      <w:spacing w:line="560" w:lineRule="exact"/>
      <w:ind w:firstLineChars="200" w:firstLine="200"/>
      <w:jc w:val="both"/>
    </w:pPr>
    <w:rPr>
      <w:rFonts w:ascii="Times New Roman" w:eastAsia="仿宋" w:hAnsi="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E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3ECD"/>
    <w:rPr>
      <w:sz w:val="18"/>
      <w:szCs w:val="18"/>
    </w:rPr>
  </w:style>
  <w:style w:type="paragraph" w:styleId="a5">
    <w:name w:val="footer"/>
    <w:basedOn w:val="a"/>
    <w:link w:val="a6"/>
    <w:uiPriority w:val="99"/>
    <w:unhideWhenUsed/>
    <w:rsid w:val="00833ECD"/>
    <w:pPr>
      <w:tabs>
        <w:tab w:val="center" w:pos="4153"/>
        <w:tab w:val="right" w:pos="8306"/>
      </w:tabs>
      <w:snapToGrid w:val="0"/>
      <w:jc w:val="left"/>
    </w:pPr>
    <w:rPr>
      <w:sz w:val="18"/>
      <w:szCs w:val="18"/>
    </w:rPr>
  </w:style>
  <w:style w:type="character" w:customStyle="1" w:styleId="a6">
    <w:name w:val="页脚 字符"/>
    <w:basedOn w:val="a0"/>
    <w:link w:val="a5"/>
    <w:uiPriority w:val="99"/>
    <w:rsid w:val="00833ECD"/>
    <w:rPr>
      <w:sz w:val="18"/>
      <w:szCs w:val="18"/>
    </w:rPr>
  </w:style>
  <w:style w:type="paragraph" w:styleId="a7">
    <w:name w:val="List Paragraph"/>
    <w:basedOn w:val="a"/>
    <w:link w:val="a8"/>
    <w:uiPriority w:val="34"/>
    <w:qFormat/>
    <w:rsid w:val="00833ECD"/>
    <w:pPr>
      <w:ind w:firstLine="420"/>
    </w:pPr>
  </w:style>
  <w:style w:type="character" w:customStyle="1" w:styleId="a8">
    <w:name w:val="列出段落 字符"/>
    <w:link w:val="a7"/>
    <w:uiPriority w:val="34"/>
    <w:qFormat/>
    <w:rsid w:val="00833ECD"/>
    <w:rPr>
      <w:rFonts w:ascii="Times New Roman" w:eastAsia="仿宋" w:hAnsi="Times New Roman"/>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576</Words>
  <Characters>3285</Characters>
  <Application>Microsoft Office Word</Application>
  <DocSecurity>0</DocSecurity>
  <Lines>27</Lines>
  <Paragraphs>7</Paragraphs>
  <ScaleCrop>false</ScaleCrop>
  <Company>ICOS</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蔡静</dc:creator>
  <cp:keywords/>
  <dc:description/>
  <cp:lastModifiedBy>蔡静</cp:lastModifiedBy>
  <cp:revision>2</cp:revision>
  <dcterms:created xsi:type="dcterms:W3CDTF">2026-03-03T09:29:00Z</dcterms:created>
  <dcterms:modified xsi:type="dcterms:W3CDTF">2026-03-03T09:30:00Z</dcterms:modified>
</cp:coreProperties>
</file>