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9BA9D">
      <w:pPr>
        <w:spacing w:line="560" w:lineRule="exact"/>
        <w:jc w:val="center"/>
        <w:rPr>
          <w:rFonts w:hint="default" w:ascii="黑体" w:hAnsi="黑体" w:eastAsia="黑体" w:cs="黑体"/>
          <w:b/>
          <w:bCs/>
          <w:color w:val="auto"/>
          <w:sz w:val="44"/>
          <w:szCs w:val="44"/>
          <w:lang w:val="en-US" w:eastAsia="zh-CN"/>
        </w:rPr>
      </w:pPr>
      <w:bookmarkStart w:id="0" w:name="_GoBack"/>
      <w:bookmarkEnd w:id="0"/>
      <w:r>
        <w:rPr>
          <w:rFonts w:hint="eastAsia" w:ascii="黑体" w:hAnsi="黑体" w:eastAsia="黑体" w:cs="黑体"/>
          <w:b/>
          <w:bCs/>
          <w:color w:val="auto"/>
          <w:sz w:val="44"/>
          <w:szCs w:val="44"/>
          <w:lang w:val="en-US" w:eastAsia="zh-CN"/>
        </w:rPr>
        <w:t>南京江北新区</w:t>
      </w:r>
      <w:r>
        <w:rPr>
          <w:rFonts w:hint="eastAsia" w:ascii="黑体" w:hAnsi="黑体" w:eastAsia="黑体" w:cs="黑体"/>
          <w:b/>
          <w:bCs/>
          <w:color w:val="auto"/>
          <w:sz w:val="44"/>
          <w:szCs w:val="44"/>
        </w:rPr>
        <w:t>大厂街道202</w:t>
      </w:r>
      <w:r>
        <w:rPr>
          <w:rFonts w:hint="eastAsia" w:ascii="黑体" w:hAnsi="黑体" w:eastAsia="黑体" w:cs="黑体"/>
          <w:b/>
          <w:bCs/>
          <w:color w:val="auto"/>
          <w:sz w:val="44"/>
          <w:szCs w:val="44"/>
          <w:lang w:val="en-US" w:eastAsia="zh-CN"/>
        </w:rPr>
        <w:t>5</w:t>
      </w:r>
      <w:r>
        <w:rPr>
          <w:rFonts w:hint="eastAsia" w:ascii="黑体" w:hAnsi="黑体" w:eastAsia="黑体" w:cs="黑体"/>
          <w:b/>
          <w:bCs/>
          <w:color w:val="auto"/>
          <w:sz w:val="44"/>
          <w:szCs w:val="44"/>
        </w:rPr>
        <w:t>年</w:t>
      </w:r>
      <w:r>
        <w:rPr>
          <w:rFonts w:hint="eastAsia" w:ascii="黑体" w:hAnsi="黑体" w:eastAsia="黑体" w:cs="黑体"/>
          <w:b/>
          <w:bCs/>
          <w:color w:val="auto"/>
          <w:sz w:val="44"/>
          <w:szCs w:val="44"/>
          <w:lang w:val="en-US" w:eastAsia="zh-CN"/>
        </w:rPr>
        <w:t>度</w:t>
      </w:r>
      <w:r>
        <w:rPr>
          <w:rFonts w:hint="eastAsia" w:ascii="黑体" w:hAnsi="黑体" w:eastAsia="黑体" w:cs="黑体"/>
          <w:b/>
          <w:bCs/>
          <w:color w:val="auto"/>
          <w:sz w:val="44"/>
          <w:szCs w:val="44"/>
        </w:rPr>
        <w:t>法治政府建设</w:t>
      </w:r>
      <w:r>
        <w:rPr>
          <w:rFonts w:hint="eastAsia" w:ascii="黑体" w:hAnsi="黑体" w:eastAsia="黑体" w:cs="黑体"/>
          <w:b/>
          <w:bCs/>
          <w:color w:val="auto"/>
          <w:sz w:val="44"/>
          <w:szCs w:val="44"/>
          <w:lang w:val="en-US" w:eastAsia="zh-CN"/>
        </w:rPr>
        <w:t>情况报告</w:t>
      </w:r>
    </w:p>
    <w:p w14:paraId="7B460E41">
      <w:pPr>
        <w:spacing w:line="560" w:lineRule="exact"/>
        <w:jc w:val="center"/>
        <w:rPr>
          <w:rFonts w:hint="default"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 xml:space="preserve">  </w:t>
      </w:r>
    </w:p>
    <w:p w14:paraId="66A16138">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大厂街道</w:t>
      </w:r>
      <w:r>
        <w:rPr>
          <w:rFonts w:hint="eastAsia" w:ascii="仿宋" w:hAnsi="仿宋" w:eastAsia="仿宋" w:cs="仿宋"/>
          <w:color w:val="auto"/>
          <w:sz w:val="32"/>
          <w:szCs w:val="32"/>
        </w:rPr>
        <w:t>深入学习贯彻习近平法治思想，聚焦新区“四大行动”、“六大重点”，践行法治为民宗旨，进一步在法治轨道上推进各项工作，为全面推进</w:t>
      </w:r>
      <w:r>
        <w:rPr>
          <w:rFonts w:hint="eastAsia" w:ascii="仿宋" w:hAnsi="仿宋" w:eastAsia="仿宋" w:cs="仿宋"/>
          <w:color w:val="auto"/>
          <w:sz w:val="32"/>
          <w:szCs w:val="32"/>
          <w:lang w:val="en-US" w:eastAsia="zh-CN"/>
        </w:rPr>
        <w:t>法治大厂</w:t>
      </w:r>
      <w:r>
        <w:rPr>
          <w:rFonts w:hint="eastAsia" w:ascii="仿宋" w:hAnsi="仿宋" w:eastAsia="仿宋" w:cs="仿宋"/>
          <w:color w:val="auto"/>
          <w:sz w:val="32"/>
          <w:szCs w:val="32"/>
        </w:rPr>
        <w:t>贡献法治力量。现将202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年街道法治政府建设工作总结如下：</w:t>
      </w:r>
    </w:p>
    <w:p w14:paraId="5D892418">
      <w:pPr>
        <w:numPr>
          <w:ilvl w:val="0"/>
          <w:numId w:val="2"/>
        </w:numPr>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lang w:val="en-US" w:eastAsia="zh-CN"/>
        </w:rPr>
        <w:t>深入</w:t>
      </w:r>
      <w:r>
        <w:rPr>
          <w:rFonts w:hint="eastAsia" w:ascii="黑体" w:hAnsi="黑体" w:eastAsia="黑体" w:cs="黑体"/>
          <w:color w:val="auto"/>
          <w:sz w:val="32"/>
          <w:szCs w:val="32"/>
        </w:rPr>
        <w:t>贯彻习近平法治思想</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强化法治建设领导机制</w:t>
      </w:r>
    </w:p>
    <w:p w14:paraId="37EDFB73">
      <w:pPr>
        <w:spacing w:line="560" w:lineRule="exact"/>
        <w:ind w:firstLine="964" w:firstLineChars="300"/>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rPr>
        <w:t>高度重视法治政府建设。</w:t>
      </w:r>
      <w:r>
        <w:rPr>
          <w:rFonts w:hint="eastAsia" w:ascii="仿宋" w:hAnsi="仿宋" w:eastAsia="仿宋" w:cs="仿宋"/>
          <w:color w:val="auto"/>
          <w:sz w:val="32"/>
          <w:szCs w:val="32"/>
        </w:rPr>
        <w:t>街道以习近平法治思想为根本遵循和行动指南，将“坚持党对全面依法治国的领导”和“坚持以人民为中心”贯穿法治建设始终，高度重视法治政府建设并作为</w:t>
      </w:r>
      <w:r>
        <w:rPr>
          <w:rFonts w:hint="eastAsia" w:ascii="仿宋" w:hAnsi="仿宋" w:eastAsia="仿宋" w:cs="仿宋"/>
          <w:color w:val="auto"/>
          <w:sz w:val="32"/>
          <w:szCs w:val="32"/>
          <w:lang w:val="en-US" w:eastAsia="zh-CN"/>
        </w:rPr>
        <w:t>重要板块</w:t>
      </w:r>
      <w:r>
        <w:rPr>
          <w:rFonts w:hint="eastAsia" w:ascii="仿宋" w:hAnsi="仿宋" w:eastAsia="仿宋" w:cs="仿宋"/>
          <w:color w:val="auto"/>
          <w:sz w:val="32"/>
          <w:szCs w:val="32"/>
        </w:rPr>
        <w:t>纳入年度“一号文”，对法治政府建设、“八五”普法、“法律桥”建设、“三治”融合等工作进行重点部署，压实工作责任，确保基层法治建设有组织、有计划、有步骤向前推进</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紧抓领导干部普法教育。</w:t>
      </w:r>
      <w:r>
        <w:rPr>
          <w:rFonts w:hint="eastAsia" w:ascii="仿宋" w:hAnsi="仿宋" w:eastAsia="仿宋" w:cs="仿宋"/>
          <w:color w:val="auto"/>
          <w:sz w:val="32"/>
          <w:szCs w:val="32"/>
        </w:rPr>
        <w:t>街道始终把领导干部学法用法作为普法教育的“龙头”，紧抓“关键少数”，将习近平法治思想纳入街道党工委理论学习中心组学习计划，</w:t>
      </w:r>
      <w:r>
        <w:rPr>
          <w:rFonts w:hint="eastAsia" w:ascii="仿宋" w:hAnsi="仿宋" w:eastAsia="仿宋" w:cs="仿宋"/>
          <w:color w:val="auto"/>
          <w:sz w:val="32"/>
          <w:szCs w:val="32"/>
          <w:lang w:val="en-US" w:eastAsia="zh-CN"/>
        </w:rPr>
        <w:t>积极开展《</w:t>
      </w:r>
      <w:r>
        <w:rPr>
          <w:rFonts w:hint="eastAsia" w:ascii="仿宋" w:hAnsi="仿宋" w:eastAsia="仿宋" w:cs="仿宋"/>
          <w:color w:val="auto"/>
          <w:sz w:val="32"/>
          <w:szCs w:val="32"/>
          <w:lang w:eastAsia="zh-CN"/>
        </w:rPr>
        <w:t>江苏省行政程序条例</w:t>
      </w:r>
      <w:r>
        <w:rPr>
          <w:rFonts w:hint="eastAsia" w:ascii="仿宋" w:hAnsi="仿宋" w:eastAsia="仿宋" w:cs="仿宋"/>
          <w:color w:val="auto"/>
          <w:sz w:val="32"/>
          <w:szCs w:val="32"/>
          <w:lang w:val="en-US" w:eastAsia="zh-CN"/>
        </w:rPr>
        <w:t>》等专题学习，</w:t>
      </w:r>
      <w:r>
        <w:rPr>
          <w:rFonts w:hint="eastAsia" w:ascii="仿宋" w:hAnsi="仿宋" w:eastAsia="仿宋" w:cs="仿宋"/>
          <w:color w:val="auto"/>
          <w:sz w:val="32"/>
          <w:szCs w:val="32"/>
        </w:rPr>
        <w:t>通过“集中授课+交流研讨”的</w:t>
      </w:r>
      <w:r>
        <w:rPr>
          <w:rFonts w:hint="eastAsia" w:ascii="仿宋" w:hAnsi="仿宋" w:eastAsia="仿宋" w:cs="仿宋"/>
          <w:color w:val="auto"/>
          <w:sz w:val="32"/>
          <w:szCs w:val="32"/>
          <w:highlight w:val="none"/>
        </w:rPr>
        <w:t>方式开展集中学法，不定期邀请省市党校老师进行授课</w:t>
      </w:r>
      <w:r>
        <w:rPr>
          <w:rFonts w:hint="eastAsia" w:ascii="仿宋" w:hAnsi="仿宋" w:eastAsia="仿宋" w:cs="仿宋"/>
          <w:color w:val="auto"/>
          <w:sz w:val="32"/>
          <w:szCs w:val="32"/>
          <w:highlight w:val="none"/>
          <w:lang w:eastAsia="zh-CN"/>
        </w:rPr>
        <w:t>。</w:t>
      </w:r>
      <w:r>
        <w:rPr>
          <w:rFonts w:hint="eastAsia" w:ascii="仿宋" w:hAnsi="仿宋" w:eastAsia="仿宋" w:cs="仿宋"/>
          <w:b/>
          <w:bCs/>
          <w:color w:val="auto"/>
          <w:sz w:val="32"/>
          <w:szCs w:val="32"/>
          <w:highlight w:val="none"/>
        </w:rPr>
        <w:t>严格执行负责人出庭应诉制度。</w:t>
      </w:r>
      <w:r>
        <w:rPr>
          <w:rFonts w:hint="eastAsia" w:ascii="仿宋" w:hAnsi="仿宋" w:eastAsia="仿宋" w:cs="仿宋"/>
          <w:color w:val="auto"/>
          <w:sz w:val="32"/>
          <w:szCs w:val="32"/>
          <w:highlight w:val="none"/>
        </w:rPr>
        <w:t>依法配合法院审判，按规定进行出庭应诉、答辩，自觉接受法院的生效判决和裁定。2025年以来，街道涉诉案件</w:t>
      </w:r>
      <w:r>
        <w:rPr>
          <w:rFonts w:hint="eastAsia" w:ascii="仿宋" w:hAnsi="仿宋" w:eastAsia="仿宋" w:cs="仿宋"/>
          <w:color w:val="auto"/>
          <w:sz w:val="32"/>
          <w:szCs w:val="32"/>
          <w:highlight w:val="none"/>
          <w:lang w:val="en-US" w:eastAsia="zh-CN"/>
        </w:rPr>
        <w:t>32</w:t>
      </w:r>
      <w:r>
        <w:rPr>
          <w:rFonts w:hint="eastAsia" w:ascii="仿宋" w:hAnsi="仿宋" w:eastAsia="仿宋" w:cs="仿宋"/>
          <w:color w:val="auto"/>
          <w:sz w:val="32"/>
          <w:szCs w:val="32"/>
          <w:highlight w:val="none"/>
        </w:rPr>
        <w:t>件，其中行政复议案件</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件，行政诉讼一审案件1件，行政诉讼二审2件，民事案件</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件。街道相关负责人按规定出庭，出庭率</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14:paraId="170FB0B1">
      <w:pPr>
        <w:numPr>
          <w:ilvl w:val="0"/>
          <w:numId w:val="2"/>
        </w:numPr>
        <w:spacing w:line="560" w:lineRule="exact"/>
        <w:ind w:firstLine="640" w:firstLineChars="200"/>
        <w:jc w:val="left"/>
        <w:rPr>
          <w:rFonts w:ascii="黑体" w:hAnsi="黑体" w:eastAsia="黑体" w:cs="黑体"/>
          <w:color w:val="auto"/>
          <w:sz w:val="32"/>
          <w:szCs w:val="32"/>
          <w:lang w:val="zh-CN"/>
        </w:rPr>
      </w:pPr>
      <w:r>
        <w:rPr>
          <w:rFonts w:hint="default" w:ascii="黑体" w:hAnsi="黑体" w:eastAsia="黑体" w:cs="黑体"/>
          <w:color w:val="auto"/>
          <w:sz w:val="32"/>
          <w:szCs w:val="32"/>
        </w:rPr>
        <w:t>夯实</w:t>
      </w:r>
      <w:r>
        <w:rPr>
          <w:rFonts w:hint="eastAsia" w:ascii="黑体" w:hAnsi="黑体" w:eastAsia="黑体" w:cs="黑体"/>
          <w:color w:val="auto"/>
          <w:sz w:val="32"/>
          <w:szCs w:val="32"/>
        </w:rPr>
        <w:t>重大行政决策程序，提升行政决策公信力执行力</w:t>
      </w:r>
      <w:r>
        <w:rPr>
          <w:rFonts w:hint="eastAsia" w:ascii="黑体" w:hAnsi="黑体" w:eastAsia="黑体" w:cs="黑体"/>
          <w:color w:val="auto"/>
          <w:sz w:val="32"/>
          <w:szCs w:val="32"/>
          <w:lang w:val="zh-CN"/>
        </w:rPr>
        <w:t>。</w:t>
      </w:r>
    </w:p>
    <w:p w14:paraId="4FDEE5FF">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仿宋" w:hAnsi="仿宋" w:eastAsia="仿宋" w:cs="仿宋"/>
          <w:color w:val="auto"/>
          <w:sz w:val="32"/>
          <w:szCs w:val="32"/>
          <w:lang w:val="en-US" w:eastAsia="zh-CN"/>
        </w:rPr>
      </w:pPr>
      <w:r>
        <w:rPr>
          <w:rFonts w:hint="default" w:ascii="仿宋" w:hAnsi="仿宋" w:eastAsia="仿宋" w:cs="仿宋"/>
          <w:b/>
          <w:bCs/>
          <w:color w:val="auto"/>
          <w:sz w:val="32"/>
          <w:szCs w:val="32"/>
        </w:rPr>
        <w:t>完善重大决策事项管理机制</w:t>
      </w:r>
      <w:r>
        <w:rPr>
          <w:rFonts w:hint="default" w:ascii="仿宋" w:hAnsi="仿宋" w:eastAsia="仿宋" w:cs="仿宋"/>
          <w:b/>
          <w:bCs/>
          <w:color w:val="auto"/>
          <w:sz w:val="32"/>
          <w:szCs w:val="32"/>
          <w:lang w:eastAsia="zh-CN"/>
        </w:rPr>
        <w:t>。</w:t>
      </w:r>
      <w:r>
        <w:rPr>
          <w:rFonts w:hint="default" w:ascii="仿宋" w:hAnsi="仿宋" w:eastAsia="仿宋" w:cs="仿宋"/>
          <w:color w:val="auto"/>
          <w:sz w:val="32"/>
          <w:szCs w:val="32"/>
          <w:lang w:val="en-US" w:eastAsia="zh-CN"/>
        </w:rPr>
        <w:t>大厂街道聚焦重大决策规范化建设，接连制定《中共大厂街道工作委员会关于进一步加强“三重一大”监管的实施办法》《大厂街道工作委员会议事规则》《大厂街道办事处议事规则》等文件，建立“三重一大”事项目录清单动态更新机制，定期梳理、优化调整，推动街道层面重大行政决策全流程制度化、标准化，筑牢决策运行基础。</w:t>
      </w:r>
      <w:r>
        <w:rPr>
          <w:rFonts w:hint="default" w:ascii="仿宋" w:hAnsi="仿宋" w:eastAsia="仿宋" w:cs="仿宋"/>
          <w:b/>
          <w:bCs/>
          <w:color w:val="auto"/>
          <w:sz w:val="32"/>
          <w:szCs w:val="32"/>
        </w:rPr>
        <w:t>深化行政决策科学民主法治实践</w:t>
      </w:r>
      <w:r>
        <w:rPr>
          <w:rFonts w:hint="eastAsia" w:ascii="仿宋" w:hAnsi="仿宋" w:eastAsia="仿宋" w:cs="仿宋"/>
          <w:b/>
          <w:bCs/>
          <w:color w:val="auto"/>
          <w:sz w:val="32"/>
          <w:szCs w:val="32"/>
        </w:rPr>
        <w:t>。</w:t>
      </w:r>
      <w:r>
        <w:rPr>
          <w:rFonts w:hint="default" w:ascii="仿宋" w:hAnsi="仿宋" w:eastAsia="仿宋" w:cs="仿宋"/>
          <w:color w:val="auto"/>
          <w:sz w:val="32"/>
          <w:szCs w:val="32"/>
          <w:lang w:val="en-US" w:eastAsia="zh-CN"/>
        </w:rPr>
        <w:t>全维度落实公众参与</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作出重大决策时，将专家论证、风险评估、合法性审查与公众参与深度融合。在街道构建议政代表会制度，搭建多元开放参与平台，通过听证会、座谈会、民意调查，以及短视频、公众号等新媒体渠道广泛问计于民，激活公众参与热情，提升参与能力，让决策更贴民意、更具开放性。高标准把好专家论证关</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针对专业性强、技术复杂的决策事项，采用“内聘+外委”模式，组织行业专家或委托第三方机构，从科学性、可行性等维度深入论证，形成全面精准、客观详实的论证报告。</w:t>
      </w:r>
      <w:r>
        <w:rPr>
          <w:rFonts w:hint="default" w:ascii="仿宋" w:hAnsi="仿宋" w:eastAsia="仿宋" w:cs="仿宋"/>
          <w:b/>
          <w:bCs/>
          <w:color w:val="auto"/>
          <w:sz w:val="32"/>
          <w:szCs w:val="32"/>
        </w:rPr>
        <w:t>构建决策闭环管理体系</w:t>
      </w:r>
      <w:r>
        <w:rPr>
          <w:rFonts w:hint="default" w:ascii="仿宋" w:hAnsi="仿宋" w:eastAsia="仿宋" w:cs="仿宋"/>
          <w:b/>
          <w:bCs/>
          <w:color w:val="auto"/>
          <w:sz w:val="32"/>
          <w:szCs w:val="32"/>
          <w:lang w:eastAsia="zh-CN"/>
        </w:rPr>
        <w:t>。</w:t>
      </w:r>
      <w:r>
        <w:rPr>
          <w:rFonts w:hint="eastAsia" w:ascii="仿宋" w:hAnsi="仿宋" w:eastAsia="仿宋" w:cs="仿宋"/>
          <w:color w:val="auto"/>
          <w:sz w:val="32"/>
          <w:szCs w:val="32"/>
          <w:lang w:val="en-US" w:eastAsia="zh-CN"/>
        </w:rPr>
        <w:t>成立街道机关党总支，会同</w:t>
      </w:r>
      <w:r>
        <w:rPr>
          <w:rFonts w:hint="default" w:ascii="仿宋" w:hAnsi="仿宋" w:eastAsia="仿宋" w:cs="仿宋"/>
          <w:color w:val="auto"/>
          <w:sz w:val="32"/>
          <w:szCs w:val="32"/>
          <w:lang w:val="en-US" w:eastAsia="zh-CN"/>
        </w:rPr>
        <w:t>监察室，建立跟踪机制，常态化对重大决策执行情况进行全流程督导，实时掌握进度、及时纠偏；持续深化法律顾问工作，从决策合法性审查到执行合规性监督，全周期嵌入专业法治力量，以闭环管理保障决策落地见效，提升行政决策公信力与执行力。</w:t>
      </w:r>
    </w:p>
    <w:p w14:paraId="40A52768">
      <w:pPr>
        <w:bidi w:val="0"/>
        <w:ind w:firstLine="643" w:firstLineChars="200"/>
        <w:rPr>
          <w:rFonts w:hint="eastAsia" w:ascii="仿宋" w:hAnsi="仿宋" w:eastAsia="仿宋" w:cs="仿宋"/>
          <w:color w:val="0000FF"/>
          <w:sz w:val="32"/>
          <w:szCs w:val="32"/>
          <w:highlight w:val="none"/>
          <w:lang w:val="en-US" w:eastAsia="zh-CN"/>
        </w:rPr>
      </w:pPr>
      <w:r>
        <w:rPr>
          <w:rFonts w:hint="eastAsia" w:ascii="仿宋" w:hAnsi="仿宋" w:eastAsia="仿宋" w:cs="仿宋"/>
          <w:b/>
          <w:bCs/>
          <w:color w:val="auto"/>
          <w:sz w:val="32"/>
          <w:szCs w:val="32"/>
          <w:lang w:val="en-US" w:eastAsia="zh-CN"/>
        </w:rPr>
        <w:t>优化街道本级法律顾问机制</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为进一步提升法治建设水平、优化法律服务供给并降低行政成本，街道对本级法律顾问机制实施了系统性优化。此次调整打破了以往由个别律所独家承接基础法律服务及案件代理的模式，将服务明确划分为基础服务与案件代理两大板块。在基础服务领域，街道延续了以往的基础费用保障机制，确保法律顾问能稳定提供日常法律服务 —— 包括为街道重大决策提供法律论证、对各类事项开展合法性审查等，为街道行政工作筑牢法律支撑。</w:t>
      </w:r>
      <w:r>
        <w:rPr>
          <w:rFonts w:hint="eastAsia" w:ascii="仿宋" w:hAnsi="仿宋" w:eastAsia="仿宋" w:cs="仿宋"/>
          <w:color w:val="auto"/>
          <w:sz w:val="32"/>
          <w:lang w:val="en-US" w:eastAsia="zh-CN"/>
        </w:rPr>
        <w:t>而在诉讼代理环节，街道则创新采用 “竞争择优选取” 模式：不再局限于固定合作律所，每起诉讼案件均由街道组织专业人员，从专业能力、服务经验、报价合理性等多维度对参与</w:t>
      </w:r>
      <w:r>
        <w:rPr>
          <w:rFonts w:hint="eastAsia" w:ascii="仿宋" w:hAnsi="仿宋" w:eastAsia="仿宋" w:cs="仿宋"/>
          <w:color w:val="auto"/>
          <w:sz w:val="32"/>
          <w:szCs w:val="32"/>
          <w:lang w:val="en-US" w:eastAsia="zh-CN"/>
        </w:rPr>
        <w:t>律所进行综合评估，最终选定最优代理机构。这一举措不仅通过引入竞争机制有效压缩了诉讼代理费用，提升了资金使用效率，更推动街道公共法律服务质量与效率实现双提升，为辖区营造了更优质的营商环境与法治环境。</w:t>
      </w:r>
      <w:r>
        <w:rPr>
          <w:rFonts w:hint="eastAsia" w:ascii="仿宋" w:hAnsi="仿宋" w:eastAsia="仿宋" w:cs="仿宋"/>
          <w:color w:val="auto"/>
          <w:sz w:val="32"/>
          <w:szCs w:val="32"/>
          <w:highlight w:val="none"/>
          <w:lang w:val="en-US" w:eastAsia="zh-CN"/>
        </w:rPr>
        <w:t>此外，街道持续强化合同管理效能。2025年共完成1188份合同的合法性审核，合同管理规范化水平明显提高。</w:t>
      </w:r>
    </w:p>
    <w:p w14:paraId="27F2F8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w:t>
      </w:r>
      <w:r>
        <w:rPr>
          <w:rFonts w:hint="eastAsia" w:ascii="黑体" w:hAnsi="黑体" w:eastAsia="黑体" w:cs="黑体"/>
          <w:color w:val="auto"/>
          <w:kern w:val="2"/>
          <w:sz w:val="32"/>
          <w:szCs w:val="32"/>
          <w:lang w:val="zh-CN" w:eastAsia="zh-CN" w:bidi="ar-SA"/>
        </w:rPr>
        <w:t>严格内部规范运转，健全长效管理机制。</w:t>
      </w:r>
    </w:p>
    <w:p w14:paraId="11FABF41">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规范公文运转</w:t>
      </w:r>
      <w:r>
        <w:rPr>
          <w:rFonts w:hint="eastAsia" w:ascii="Times New Roman" w:hAnsi="Times New Roman" w:eastAsia="方正仿宋_GBK" w:cs="Times New Roman"/>
          <w:b/>
          <w:bCs/>
          <w:color w:val="auto"/>
          <w:sz w:val="32"/>
          <w:szCs w:val="32"/>
          <w:lang w:val="en-US" w:eastAsia="zh-CN"/>
        </w:rPr>
        <w:t>，筑牢规范根基。</w:t>
      </w:r>
      <w:r>
        <w:rPr>
          <w:rFonts w:hint="default" w:ascii="Times New Roman" w:hAnsi="Times New Roman" w:eastAsia="方正仿宋_GBK" w:cs="Times New Roman"/>
          <w:color w:val="auto"/>
          <w:sz w:val="32"/>
          <w:szCs w:val="32"/>
          <w:lang w:val="en-US" w:eastAsia="zh-CN"/>
        </w:rPr>
        <w:t>严格执行公文处理规范，确保印发文件符合法律法规和政策要求</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定期开展公文质量检查，对发现的问题及时督促整改。</w:t>
      </w:r>
      <w:r>
        <w:rPr>
          <w:rFonts w:hint="eastAsia" w:ascii="Times New Roman" w:hAnsi="Times New Roman" w:eastAsia="方正仿宋_GBK" w:cs="Times New Roman"/>
          <w:b/>
          <w:bCs/>
          <w:color w:val="auto"/>
          <w:sz w:val="32"/>
          <w:szCs w:val="32"/>
          <w:lang w:val="en-US" w:eastAsia="zh-CN"/>
        </w:rPr>
        <w:t>健全</w:t>
      </w:r>
      <w:r>
        <w:rPr>
          <w:rFonts w:hint="default" w:ascii="Times New Roman" w:hAnsi="Times New Roman" w:eastAsia="方正仿宋_GBK" w:cs="Times New Roman"/>
          <w:b/>
          <w:bCs/>
          <w:color w:val="auto"/>
          <w:sz w:val="32"/>
          <w:szCs w:val="32"/>
          <w:lang w:val="en-US" w:eastAsia="zh-CN"/>
        </w:rPr>
        <w:t>管理制度，强化长效管理。</w:t>
      </w:r>
      <w:r>
        <w:rPr>
          <w:rFonts w:hint="default" w:ascii="Times New Roman" w:hAnsi="Times New Roman" w:eastAsia="方正仿宋_GBK" w:cs="Times New Roman"/>
          <w:color w:val="auto"/>
          <w:sz w:val="32"/>
          <w:szCs w:val="32"/>
          <w:lang w:val="en-US" w:eastAsia="zh-CN"/>
        </w:rPr>
        <w:t> </w:t>
      </w:r>
      <w:r>
        <w:rPr>
          <w:rFonts w:hint="eastAsia" w:ascii="Times New Roman" w:hAnsi="Times New Roman" w:eastAsia="方正仿宋_GBK" w:cs="Times New Roman"/>
          <w:color w:val="auto"/>
          <w:sz w:val="32"/>
          <w:szCs w:val="32"/>
          <w:lang w:val="en-US" w:eastAsia="zh-CN"/>
        </w:rPr>
        <w:t>出台《大厂街道公务员平时考核实施办法（试行）》《大厂街道内部审计工作实施细则》《大厂街道政府投资建设项目审计监督全覆盖实施细则》等内部管理制度，推动形成靠制度管权、管事、管人的长效机制。</w:t>
      </w:r>
      <w:r>
        <w:rPr>
          <w:rFonts w:hint="eastAsia" w:ascii="Times New Roman" w:hAnsi="Times New Roman" w:eastAsia="方正仿宋_GBK" w:cs="Times New Roman"/>
          <w:b/>
          <w:bCs/>
          <w:color w:val="auto"/>
          <w:sz w:val="32"/>
          <w:szCs w:val="32"/>
          <w:lang w:val="en-US" w:eastAsia="zh-CN"/>
        </w:rPr>
        <w:t>深化政务公开，打造阳光政务。</w:t>
      </w:r>
      <w:r>
        <w:rPr>
          <w:rFonts w:hint="eastAsia" w:ascii="Times New Roman" w:hAnsi="Times New Roman" w:eastAsia="方正仿宋_GBK" w:cs="Times New Roman"/>
          <w:color w:val="auto"/>
          <w:sz w:val="32"/>
          <w:szCs w:val="32"/>
          <w:lang w:val="en-US" w:eastAsia="zh-CN"/>
        </w:rPr>
        <w:t>严格执行政府信息公开条例，通过门户网站、政务公开栏等渠道，主动、及时、准确地公开信息，持续提升街道工作的透明度和公信力。</w:t>
      </w:r>
    </w:p>
    <w:p w14:paraId="72EA1CA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color w:val="auto"/>
          <w:sz w:val="32"/>
          <w:szCs w:val="32"/>
          <w:lang w:val="en-US" w:eastAsia="zh-CN"/>
        </w:rPr>
        <w:t>四、</w:t>
      </w:r>
      <w:r>
        <w:rPr>
          <w:rFonts w:hint="eastAsia" w:ascii="黑体" w:hAnsi="黑体" w:eastAsia="黑体" w:cs="黑体"/>
          <w:color w:val="auto"/>
          <w:sz w:val="32"/>
          <w:szCs w:val="32"/>
        </w:rPr>
        <w:t>持续推进严格规范公正文明执法</w:t>
      </w:r>
    </w:p>
    <w:p w14:paraId="256A7FB4">
      <w:p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严格办案程序、规范执法行为</w:t>
      </w:r>
      <w:r>
        <w:rPr>
          <w:rFonts w:hint="default" w:ascii="仿宋" w:hAnsi="仿宋" w:eastAsia="仿宋" w:cs="仿宋"/>
          <w:b/>
          <w:bCs/>
          <w:color w:val="auto"/>
          <w:sz w:val="32"/>
          <w:szCs w:val="32"/>
          <w:lang w:val="en-US" w:eastAsia="zh-CN"/>
        </w:rPr>
        <w:t>严格落实行政执法三项制度</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val="en-US" w:eastAsia="zh-CN"/>
        </w:rPr>
        <w:t>按照上级部署，积极推进综合行政执法改革，整合执法资源，优化执法队伍。明确执法职责，规范执法程序，提升执法效能。建立街道一体化工作站，工作站采用“一室三队”模式运作，履行辖区内应急管理、安全生产、消防安全等属地监管职能。</w:t>
      </w:r>
    </w:p>
    <w:p w14:paraId="5798F30E">
      <w:pPr>
        <w:ind w:firstLine="640" w:firstLineChars="200"/>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在</w:t>
      </w:r>
      <w:r>
        <w:rPr>
          <w:rFonts w:hint="eastAsia" w:ascii="仿宋" w:hAnsi="仿宋" w:eastAsia="仿宋" w:cs="仿宋"/>
          <w:color w:val="auto"/>
          <w:sz w:val="32"/>
          <w:szCs w:val="32"/>
          <w:lang w:val="en-US" w:eastAsia="zh-CN"/>
        </w:rPr>
        <w:t>办理案件中</w:t>
      </w:r>
      <w:r>
        <w:rPr>
          <w:rFonts w:hint="default" w:ascii="仿宋" w:hAnsi="仿宋" w:eastAsia="仿宋" w:cs="仿宋"/>
          <w:color w:val="auto"/>
          <w:sz w:val="32"/>
          <w:szCs w:val="32"/>
          <w:lang w:val="en-US" w:eastAsia="zh-CN"/>
        </w:rPr>
        <w:t>，始终坚持处罚主体正确、事实清楚、证据确凿、适用法律正确、程序合法、自由裁量运用适当等要求，规范案件办理。不断完善执法调查、勘验取证、处罚裁量</w:t>
      </w:r>
      <w:r>
        <w:rPr>
          <w:rFonts w:hint="eastAsia" w:ascii="仿宋" w:hAnsi="仿宋" w:eastAsia="仿宋" w:cs="仿宋"/>
          <w:color w:val="auto"/>
          <w:sz w:val="32"/>
          <w:szCs w:val="32"/>
          <w:lang w:val="en-US" w:eastAsia="zh-CN"/>
        </w:rPr>
        <w:t>基准</w:t>
      </w:r>
      <w:r>
        <w:rPr>
          <w:rFonts w:hint="default" w:ascii="仿宋" w:hAnsi="仿宋" w:eastAsia="仿宋" w:cs="仿宋"/>
          <w:color w:val="auto"/>
          <w:sz w:val="32"/>
          <w:szCs w:val="32"/>
          <w:lang w:val="en-US" w:eastAsia="zh-CN"/>
        </w:rPr>
        <w:t>、处罚执行等办案</w:t>
      </w:r>
      <w:r>
        <w:rPr>
          <w:rFonts w:hint="eastAsia" w:ascii="仿宋" w:hAnsi="仿宋" w:eastAsia="仿宋" w:cs="仿宋"/>
          <w:color w:val="auto"/>
          <w:sz w:val="32"/>
          <w:szCs w:val="32"/>
          <w:lang w:val="en-US" w:eastAsia="zh-CN"/>
        </w:rPr>
        <w:t>环节</w:t>
      </w:r>
      <w:r>
        <w:rPr>
          <w:rFonts w:hint="default" w:ascii="仿宋" w:hAnsi="仿宋" w:eastAsia="仿宋" w:cs="仿宋"/>
          <w:color w:val="auto"/>
          <w:sz w:val="32"/>
          <w:szCs w:val="32"/>
          <w:lang w:val="en-US" w:eastAsia="zh-CN"/>
        </w:rPr>
        <w:t>。积极利用技术手段进行调查取证，利用“南京市工程车辆智慧监管平台”、辖区道路监控摄像头，提升非现场执法能力。</w:t>
      </w:r>
    </w:p>
    <w:p w14:paraId="2E3AEFCC">
      <w:pPr>
        <w:ind w:firstLine="640" w:firstLineChars="200"/>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积极贯彻落实“三项清单”，依照执法领域中可以“从轻、减轻、不予处罚”的事项</w:t>
      </w:r>
      <w:r>
        <w:rPr>
          <w:rFonts w:hint="eastAsia" w:ascii="仿宋" w:hAnsi="仿宋" w:eastAsia="仿宋" w:cs="仿宋"/>
          <w:color w:val="auto"/>
          <w:sz w:val="32"/>
          <w:szCs w:val="32"/>
          <w:lang w:val="en-US" w:eastAsia="zh-CN"/>
        </w:rPr>
        <w:t>，截至目前综合行政执法办公室</w:t>
      </w:r>
      <w:r>
        <w:rPr>
          <w:rFonts w:hint="default" w:ascii="仿宋" w:hAnsi="仿宋" w:eastAsia="仿宋" w:cs="仿宋"/>
          <w:color w:val="auto"/>
          <w:sz w:val="32"/>
          <w:szCs w:val="32"/>
          <w:lang w:val="en-US" w:eastAsia="zh-CN"/>
        </w:rPr>
        <w:t>办理“三项清单”不予处罚案件</w:t>
      </w: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lang w:val="en-US" w:eastAsia="zh-CN"/>
        </w:rPr>
        <w:t>件。结合规范涉企行政检查、规范涉企行政执法专项行动和整治城管执法不规范问题专项行动，针对部分初次违法的当事人，对照《南京市城市管理领域行政执法轻微违法行为不予行政处罚清单》中，初次违法，危害后果轻微，对当事人作出不予行政处罚。有效落实了“三项清单”，避免执法方式简单僵化和“重处罚、轻教育、轻纠错、轻服务”。</w:t>
      </w:r>
    </w:p>
    <w:p w14:paraId="487F19D4">
      <w:pPr>
        <w:ind w:firstLine="640" w:firstLineChars="200"/>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不断加强和提升执法卷宗制作标准，从文书</w:t>
      </w:r>
      <w:r>
        <w:rPr>
          <w:rFonts w:hint="eastAsia" w:ascii="仿宋" w:hAnsi="仿宋" w:eastAsia="仿宋" w:cs="仿宋"/>
          <w:color w:val="auto"/>
          <w:sz w:val="32"/>
          <w:szCs w:val="32"/>
          <w:lang w:val="en-US" w:eastAsia="zh-CN"/>
        </w:rPr>
        <w:t>填写完整</w:t>
      </w:r>
      <w:r>
        <w:rPr>
          <w:rFonts w:hint="default" w:ascii="仿宋" w:hAnsi="仿宋" w:eastAsia="仿宋" w:cs="仿宋"/>
          <w:color w:val="auto"/>
          <w:sz w:val="32"/>
          <w:szCs w:val="32"/>
          <w:lang w:val="en-US" w:eastAsia="zh-CN"/>
        </w:rPr>
        <w:t>、制作装订规范、</w:t>
      </w:r>
      <w:r>
        <w:rPr>
          <w:rFonts w:hint="eastAsia" w:ascii="仿宋" w:hAnsi="仿宋" w:eastAsia="仿宋" w:cs="仿宋"/>
          <w:color w:val="auto"/>
          <w:sz w:val="32"/>
          <w:szCs w:val="32"/>
          <w:lang w:val="en-US" w:eastAsia="zh-CN"/>
        </w:rPr>
        <w:t>结案</w:t>
      </w:r>
      <w:r>
        <w:rPr>
          <w:rFonts w:hint="default" w:ascii="仿宋" w:hAnsi="仿宋" w:eastAsia="仿宋" w:cs="仿宋"/>
          <w:color w:val="auto"/>
          <w:sz w:val="32"/>
          <w:szCs w:val="32"/>
          <w:lang w:val="en-US" w:eastAsia="zh-CN"/>
        </w:rPr>
        <w:t>及时归档、信用公示准确及时等方面入手，卷宗制作质量显著提高。</w:t>
      </w:r>
      <w:r>
        <w:rPr>
          <w:rFonts w:hint="eastAsia" w:ascii="仿宋" w:hAnsi="仿宋" w:eastAsia="仿宋" w:cs="仿宋"/>
          <w:color w:val="auto"/>
          <w:sz w:val="32"/>
          <w:szCs w:val="32"/>
          <w:lang w:val="en-US" w:eastAsia="zh-CN"/>
        </w:rPr>
        <w:t>在执法文书领用管理方面，城管中队严格落实执法文书管理相关工作制度，安排专人进行日常管理，每月定期检查文书核销使用情况，确保了执法文书的可查可溯。</w:t>
      </w:r>
    </w:p>
    <w:p w14:paraId="0F73FC04">
      <w:pPr>
        <w:ind w:firstLine="640" w:firstLineChars="200"/>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全面推行执法事前、事中、事后公示制度，全面准确及时主动公开行政执法信息，主动履行行政执法告知义务。全面推行执法全过程记录制度，刻盘入卷，随卷进档，做到执法全过程留痕和可回溯管理。全面推行重大执法决定法制审核制度。坚持依法行政、柔性管理、最小化损害原则，充分保障当事人陈述申辩权、听证权</w:t>
      </w:r>
      <w:r>
        <w:rPr>
          <w:rFonts w:hint="eastAsia" w:ascii="仿宋" w:hAnsi="仿宋" w:eastAsia="仿宋" w:cs="仿宋"/>
          <w:color w:val="auto"/>
          <w:sz w:val="32"/>
          <w:szCs w:val="32"/>
          <w:lang w:val="en-US" w:eastAsia="zh-CN"/>
        </w:rPr>
        <w:t>等救济权利</w:t>
      </w:r>
      <w:r>
        <w:rPr>
          <w:rFonts w:hint="default" w:ascii="仿宋" w:hAnsi="仿宋" w:eastAsia="仿宋" w:cs="仿宋"/>
          <w:color w:val="auto"/>
          <w:sz w:val="32"/>
          <w:szCs w:val="32"/>
          <w:lang w:val="en-US" w:eastAsia="zh-CN"/>
        </w:rPr>
        <w:t>，切实保障当事人合法权益不受侵犯，严格按照法定权限和程序审慎实施行政强制和证据登记保存措施，在自由裁量权运用时坚持过罚相当原则，实现社会效应的最大化。</w:t>
      </w:r>
    </w:p>
    <w:p w14:paraId="7A75771F">
      <w:pPr>
        <w:keepNext w:val="0"/>
        <w:keepLines w:val="0"/>
        <w:pageBreakBefore w:val="0"/>
        <w:widowControl w:val="0"/>
        <w:kinsoku/>
        <w:wordWrap/>
        <w:overflowPunct/>
        <w:topLinePunct w:val="0"/>
        <w:autoSpaceDE/>
        <w:autoSpaceDN/>
        <w:bidi w:val="0"/>
        <w:adjustRightInd/>
        <w:snapToGrid/>
        <w:spacing w:line="520" w:lineRule="exact"/>
        <w:ind w:firstLine="643" w:firstLineChars="200"/>
        <w:rPr>
          <w:rFonts w:hint="eastAsia" w:ascii="Times New Roman" w:hAnsi="Times New Roman" w:eastAsia="方正仿宋_GBK" w:cs="Times New Roman"/>
          <w:color w:val="auto"/>
          <w:sz w:val="32"/>
          <w:szCs w:val="32"/>
          <w:lang w:eastAsia="zh-CN"/>
        </w:rPr>
      </w:pPr>
      <w:r>
        <w:rPr>
          <w:rFonts w:hint="eastAsia" w:ascii="仿宋" w:hAnsi="仿宋" w:eastAsia="仿宋" w:cs="仿宋"/>
          <w:b/>
          <w:bCs/>
          <w:color w:val="auto"/>
          <w:sz w:val="32"/>
          <w:szCs w:val="32"/>
        </w:rPr>
        <w:t>加强行政执法人员法治素养。</w:t>
      </w:r>
      <w:r>
        <w:rPr>
          <w:rFonts w:hint="eastAsia" w:ascii="仿宋" w:hAnsi="仿宋" w:eastAsia="仿宋" w:cs="仿宋"/>
          <w:color w:val="auto"/>
          <w:sz w:val="32"/>
          <w:szCs w:val="32"/>
          <w:lang w:val="en-US" w:eastAsia="zh-CN"/>
        </w:rPr>
        <w:t>加强执法人员培训，定期组织执法业务培训，提升执法人员业务水平。</w:t>
      </w:r>
      <w:r>
        <w:rPr>
          <w:rFonts w:hint="eastAsia" w:ascii="Times New Roman" w:hAnsi="Times New Roman" w:eastAsia="方正仿宋_GBK" w:cs="Times New Roman"/>
          <w:color w:val="auto"/>
          <w:sz w:val="32"/>
          <w:szCs w:val="32"/>
          <w:lang w:val="en-US" w:eastAsia="zh-CN"/>
        </w:rPr>
        <w:t>组织街道行政执法人员完成执法证培训考试年审工作，及时做好执法证初次申领培训考试，对调离岗位、退休等行政执法人员及时办理注销、变更。</w:t>
      </w:r>
      <w:r>
        <w:rPr>
          <w:rFonts w:hint="default" w:ascii="Times New Roman" w:hAnsi="Times New Roman" w:eastAsia="方正仿宋_GBK" w:cs="Times New Roman"/>
          <w:color w:val="auto"/>
          <w:sz w:val="32"/>
          <w:szCs w:val="32"/>
        </w:rPr>
        <w:t>2025年以来共组织各类培训</w:t>
      </w:r>
      <w:r>
        <w:rPr>
          <w:rFonts w:hint="eastAsia" w:ascii="Times New Roman" w:hAnsi="Times New Roman" w:eastAsia="方正仿宋_GBK" w:cs="Times New Roman"/>
          <w:color w:val="auto"/>
          <w:sz w:val="32"/>
          <w:szCs w:val="32"/>
          <w:lang w:val="en-US" w:eastAsia="zh-CN"/>
        </w:rPr>
        <w:t>10余</w:t>
      </w:r>
      <w:r>
        <w:rPr>
          <w:rFonts w:hint="default" w:ascii="Times New Roman" w:hAnsi="Times New Roman" w:eastAsia="方正仿宋_GBK" w:cs="Times New Roman"/>
          <w:color w:val="auto"/>
          <w:sz w:val="32"/>
          <w:szCs w:val="32"/>
        </w:rPr>
        <w:t>场次，执法队员参与新区执法总队集中培训4批次，21人次；辅助人员</w:t>
      </w:r>
      <w:r>
        <w:rPr>
          <w:rFonts w:hint="eastAsia" w:ascii="Times New Roman" w:hAnsi="Times New Roman" w:eastAsia="方正仿宋_GBK" w:cs="Times New Roman"/>
          <w:color w:val="auto"/>
          <w:sz w:val="32"/>
          <w:szCs w:val="32"/>
          <w:lang w:val="en-US" w:eastAsia="zh-CN"/>
        </w:rPr>
        <w:t>分4批次</w:t>
      </w:r>
      <w:r>
        <w:rPr>
          <w:rFonts w:hint="default" w:ascii="Times New Roman" w:hAnsi="Times New Roman" w:eastAsia="方正仿宋_GBK" w:cs="Times New Roman"/>
          <w:color w:val="auto"/>
          <w:sz w:val="32"/>
          <w:szCs w:val="32"/>
        </w:rPr>
        <w:t>参与</w:t>
      </w:r>
      <w:r>
        <w:rPr>
          <w:rFonts w:hint="eastAsia" w:ascii="Times New Roman" w:hAnsi="Times New Roman" w:eastAsia="方正仿宋_GBK" w:cs="Times New Roman"/>
          <w:color w:val="auto"/>
          <w:sz w:val="32"/>
          <w:szCs w:val="32"/>
          <w:lang w:val="en-US" w:eastAsia="zh-CN"/>
        </w:rPr>
        <w:t>新区</w:t>
      </w:r>
      <w:r>
        <w:rPr>
          <w:rFonts w:hint="default" w:ascii="Times New Roman" w:hAnsi="Times New Roman" w:eastAsia="方正仿宋_GBK" w:cs="Times New Roman"/>
          <w:color w:val="auto"/>
          <w:sz w:val="32"/>
          <w:szCs w:val="32"/>
        </w:rPr>
        <w:t>执法局组织培训，全面提升执法队伍专业素养</w:t>
      </w:r>
      <w:r>
        <w:rPr>
          <w:rFonts w:hint="eastAsia" w:ascii="Times New Roman" w:hAnsi="Times New Roman" w:eastAsia="方正仿宋_GBK" w:cs="Times New Roman"/>
          <w:color w:val="auto"/>
          <w:sz w:val="32"/>
          <w:szCs w:val="32"/>
          <w:lang w:eastAsia="zh-CN"/>
        </w:rPr>
        <w:t>。</w:t>
      </w:r>
    </w:p>
    <w:p w14:paraId="449827B8">
      <w:p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行政执法突出问题专项整治。</w:t>
      </w:r>
      <w:r>
        <w:rPr>
          <w:rFonts w:hint="eastAsia" w:ascii="仿宋" w:hAnsi="仿宋" w:eastAsia="仿宋" w:cs="仿宋"/>
          <w:color w:val="auto"/>
          <w:sz w:val="32"/>
          <w:szCs w:val="32"/>
          <w:lang w:val="en-US" w:eastAsia="zh-CN"/>
        </w:rPr>
        <w:t>全面做好行政执法案卷抽查、自查、评查工作。按照上级要求严格规范涉企行政检查工作，做好2025年度行政检查计划、行政执法主体等相关内容公示。为进一步规范企业安全生产监管流程，提高监管工作的透明度和可追溯性，街道坚决落实入企扫码监管模式。有效避免了监管工作的随意性，实现了检查流程的全程留痕、闭环管理。</w:t>
      </w:r>
    </w:p>
    <w:p w14:paraId="07043F88">
      <w:pPr>
        <w:numPr>
          <w:ilvl w:val="0"/>
          <w:numId w:val="0"/>
        </w:numPr>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加强法治社会建设，提升公共法律服务供给能力</w:t>
      </w:r>
    </w:p>
    <w:p w14:paraId="5E460B47">
      <w:p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持续发挥“法律桥”品牌内涵。</w:t>
      </w:r>
      <w:r>
        <w:rPr>
          <w:rFonts w:hint="eastAsia" w:ascii="仿宋" w:hAnsi="仿宋" w:eastAsia="仿宋" w:cs="仿宋"/>
          <w:color w:val="auto"/>
          <w:sz w:val="32"/>
          <w:szCs w:val="32"/>
          <w:lang w:val="en-US" w:eastAsia="zh-CN"/>
        </w:rPr>
        <w:t>以弘扬法治文化为宗旨，为民办实事为目的，在民法典广场、平顶山法治讲堂作用的基础上，进一步拓宽“法律桥”广度，在扬子老年大学打造“大厂法治书屋”，并配备千余本法治图书和法律法规单行本，每周三定期开放，进一步便利辖区居民学法，扩大“法律桥”影响力。持续发挥大厂街道律师志愿者服务队作用，在2个律师志愿者服务之窗开展常态化法律服务，为居民、企业提供优质的法律服务。利用1934文化产业园人民调解委员会、南钢联合人民调解委员会，有效化解企业矛盾纠纷，助力辖区企业发展，切实提升法治营商环境。</w:t>
      </w:r>
      <w:r>
        <w:rPr>
          <w:rFonts w:hint="eastAsia" w:ascii="仿宋" w:hAnsi="仿宋" w:eastAsia="仿宋" w:cs="仿宋"/>
          <w:b/>
          <w:bCs/>
          <w:color w:val="auto"/>
          <w:sz w:val="32"/>
          <w:szCs w:val="32"/>
          <w:lang w:val="en-US" w:eastAsia="zh-CN"/>
        </w:rPr>
        <w:t>强化</w:t>
      </w:r>
      <w:r>
        <w:rPr>
          <w:rFonts w:hint="eastAsia" w:ascii="仿宋" w:hAnsi="仿宋" w:eastAsia="仿宋" w:cs="仿宋"/>
          <w:b/>
          <w:bCs/>
          <w:color w:val="auto"/>
          <w:sz w:val="32"/>
          <w:szCs w:val="32"/>
        </w:rPr>
        <w:t>公共法律服务建设。</w:t>
      </w:r>
      <w:r>
        <w:rPr>
          <w:rFonts w:hint="eastAsia" w:ascii="仿宋" w:hAnsi="仿宋" w:eastAsia="仿宋" w:cs="仿宋"/>
          <w:color w:val="auto"/>
          <w:sz w:val="32"/>
          <w:szCs w:val="32"/>
          <w:lang w:val="en-US" w:eastAsia="zh-CN"/>
        </w:rPr>
        <w:t>强化社区法律顾问机制，保持“一社区一法律顾问”配备，社区覆盖率100%，24个社区法律顾问共解答群众的法律咨询400余人次。街道公共法律服务中心积极接待群众来电、来访法律咨询，及时为辖区有需要的困难群众提供优质法律援助诉讼服务，共接待群众来电、来访法律咨询50余人次。</w:t>
      </w:r>
      <w:r>
        <w:rPr>
          <w:rFonts w:hint="eastAsia" w:ascii="仿宋" w:hAnsi="仿宋" w:eastAsia="仿宋" w:cs="仿宋"/>
          <w:b/>
          <w:bCs/>
          <w:color w:val="auto"/>
          <w:sz w:val="32"/>
          <w:szCs w:val="32"/>
        </w:rPr>
        <w:t>强化普法内容实效，推动“法律明白人”水平提升</w:t>
      </w:r>
      <w:r>
        <w:rPr>
          <w:rFonts w:hint="eastAsia" w:ascii="仿宋" w:hAnsi="仿宋" w:eastAsia="仿宋" w:cs="仿宋"/>
          <w:color w:val="auto"/>
          <w:sz w:val="32"/>
          <w:szCs w:val="32"/>
          <w:lang w:val="en-US" w:eastAsia="zh-CN"/>
        </w:rPr>
        <w:t>大力推进“八五”普法，积极开展“学法促稳定 助力新发展”农民工学法活动周活动、民法典宣传月、消费者权益保护日、暑期青少年“法润青春・规则同行”、国家安全宣传月等普法宣传活动，利用电子屏、横幅、微信公众号，开展线上+线下的普法活动。通过法润民生微信群、微信公众号等媒体，做好“谁执法谁普法”、“谁服务谁普法”、“谁管理谁普法”普法宣传。联合社区法律顾问定期开展法律明白人培训，持续提升法律明白人法治素养。充分发挥法律明白人在法治建设、宣传政策法规、引导法律服务、化解矛盾纠纷、参与社会治理中的示范引领作用持续彰显。</w:t>
      </w:r>
      <w:r>
        <w:rPr>
          <w:rFonts w:hint="eastAsia" w:ascii="仿宋" w:hAnsi="仿宋" w:eastAsia="仿宋" w:cs="仿宋"/>
          <w:b/>
          <w:bCs/>
          <w:color w:val="auto"/>
          <w:sz w:val="32"/>
          <w:szCs w:val="32"/>
        </w:rPr>
        <w:t>拓宽</w:t>
      </w:r>
      <w:r>
        <w:rPr>
          <w:rFonts w:ascii="仿宋" w:hAnsi="仿宋" w:eastAsia="仿宋" w:cs="仿宋"/>
          <w:b/>
          <w:bCs/>
          <w:color w:val="auto"/>
          <w:sz w:val="32"/>
          <w:szCs w:val="32"/>
        </w:rPr>
        <w:t>新型矛盾纠纷化解渠道</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持续坚持和发展新时代“枫桥经验”，实现“矛盾不上交，平安不出事、服务不缺位”的调解理念，在街道开展24节气家事调解工作室宣传工作，利用律师宣讲、社区教育、制作手工等宣传手段，做到宣传无死角。并利用社区网格为阵地，进一步健全完善社区调解组织网络体系，将人民调解工作以社区为单位，每个社区明确一名专职人民调解员，负责矛盾纠纷信息收集、隐患排查及信息反馈等工作，同时在各社区调解室张贴调解员的联系方式，确保调解员第一时间介入、有效、妥善化解群众各类矛盾。在平顶山法治讲堂举办人民调解业务水平提升培训班，三位经验丰富的讲师为辖区内专职人民调解员授课。</w:t>
      </w:r>
    </w:p>
    <w:p w14:paraId="20C5EF9B">
      <w:p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坚持以网格化服务管理为基础。</w:t>
      </w:r>
      <w:r>
        <w:rPr>
          <w:rFonts w:hint="eastAsia" w:ascii="仿宋" w:hAnsi="仿宋" w:eastAsia="仿宋" w:cs="仿宋"/>
          <w:color w:val="auto"/>
          <w:sz w:val="32"/>
          <w:szCs w:val="32"/>
          <w:lang w:val="en-US" w:eastAsia="zh-CN"/>
        </w:rPr>
        <w:t>结合“12345”政务热线和数字城管以及信息化平台建设为支撑，以网格凝心聚力、助力四大行动，夯实基层治理、助推高质量发展为出发点，在源头治理、融合管理、高效处置、赋权赋能上下功夫，进一步强化“先解决问题再说”与“吹哨报到”机制和“网格+公共服务”融合治理，进一步提升网格员工作效能、做实网格、做优网格化治理能力，促进街道社会治理与城市管理水平不断提升，聚焦四大行动，助推高质量发展，以实现“凝聚网格力量、助力幸福大厂”和“网格更实、服务更全、力量更广”目标。</w:t>
      </w:r>
    </w:p>
    <w:p w14:paraId="539B98B5">
      <w:pPr>
        <w:ind w:firstLine="640" w:firstLineChars="200"/>
        <w:rPr>
          <w:rFonts w:hint="eastAsia" w:ascii="仿宋" w:hAnsi="仿宋" w:eastAsia="仿宋" w:cs="仿宋"/>
          <w:color w:val="auto"/>
          <w:sz w:val="32"/>
          <w:szCs w:val="32"/>
          <w:lang w:val="en-US" w:eastAsia="zh-CN"/>
        </w:rPr>
      </w:pPr>
    </w:p>
    <w:p w14:paraId="45BADB90">
      <w:pPr>
        <w:ind w:firstLine="640" w:firstLineChars="200"/>
        <w:rPr>
          <w:rFonts w:hint="default" w:ascii="仿宋" w:hAnsi="仿宋" w:eastAsia="仿宋" w:cs="仿宋"/>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81F8E4-71A1-42A8-99CB-F3760D4E2B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18030">
    <w:altName w:val="宋体"/>
    <w:panose1 w:val="00000000000000000000"/>
    <w:charset w:val="86"/>
    <w:family w:val="modern"/>
    <w:pitch w:val="default"/>
    <w:sig w:usb0="00000000" w:usb1="00000000" w:usb2="000A005E"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C538AC10-D6F1-43B0-8568-80F0CAF9DDD5}"/>
  </w:font>
  <w:font w:name="方正仿宋_GBK">
    <w:panose1 w:val="03000509000000000000"/>
    <w:charset w:val="86"/>
    <w:family w:val="auto"/>
    <w:pitch w:val="default"/>
    <w:sig w:usb0="00000001" w:usb1="080E0000" w:usb2="00000000" w:usb3="00000000" w:csb0="00040000" w:csb1="00000000"/>
    <w:embedRegular r:id="rId3" w:fontKey="{6F750262-8613-4A63-936E-9364E33166DA}"/>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E8F25"/>
    <w:multiLevelType w:val="singleLevel"/>
    <w:tmpl w:val="DB3E8F25"/>
    <w:lvl w:ilvl="0" w:tentative="0">
      <w:start w:val="1"/>
      <w:numFmt w:val="chineseCounting"/>
      <w:suff w:val="nothing"/>
      <w:lvlText w:val="%1、"/>
      <w:lvlJc w:val="left"/>
      <w:rPr>
        <w:rFonts w:hint="eastAsia"/>
      </w:rPr>
    </w:lvl>
  </w:abstractNum>
  <w:abstractNum w:abstractNumId="1">
    <w:nsid w:val="01AD077F"/>
    <w:multiLevelType w:val="singleLevel"/>
    <w:tmpl w:val="01AD077F"/>
    <w:lvl w:ilvl="0" w:tentative="0">
      <w:start w:val="1"/>
      <w:numFmt w:val="chineseCountingThousand"/>
      <w:pStyle w:val="2"/>
      <w:lvlText w:val="（%1）"/>
      <w:lvlJc w:val="left"/>
      <w:pPr>
        <w:tabs>
          <w:tab w:val="left" w:pos="810"/>
        </w:tabs>
        <w:ind w:left="0" w:firstLine="612"/>
      </w:pPr>
      <w:rPr>
        <w:rFonts w:ascii="Times New Roman" w:hAnsi="Times New Roman" w:cs="Times New Roman"/>
        <w:b w:val="0"/>
        <w:bCs w:val="0"/>
        <w:i w:val="0"/>
        <w:iCs w:val="0"/>
        <w:vanish/>
        <w:color w:val="000000"/>
        <w:spacing w:val="0"/>
        <w:w w:val="0"/>
        <w:kern w:val="0"/>
        <w:szCs w:val="0"/>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B708D"/>
    <w:rsid w:val="00032CBC"/>
    <w:rsid w:val="008E6307"/>
    <w:rsid w:val="00C1273E"/>
    <w:rsid w:val="00C20A69"/>
    <w:rsid w:val="00CA4719"/>
    <w:rsid w:val="00F705B3"/>
    <w:rsid w:val="015D16B3"/>
    <w:rsid w:val="0256755B"/>
    <w:rsid w:val="02750329"/>
    <w:rsid w:val="0311066E"/>
    <w:rsid w:val="04D74983"/>
    <w:rsid w:val="04E23328"/>
    <w:rsid w:val="05DD246D"/>
    <w:rsid w:val="06441289"/>
    <w:rsid w:val="06F06197"/>
    <w:rsid w:val="07462294"/>
    <w:rsid w:val="07500A1D"/>
    <w:rsid w:val="07E752C5"/>
    <w:rsid w:val="080F6B2A"/>
    <w:rsid w:val="08702689"/>
    <w:rsid w:val="09221988"/>
    <w:rsid w:val="09AF4121"/>
    <w:rsid w:val="0A4D105A"/>
    <w:rsid w:val="0B73178A"/>
    <w:rsid w:val="0C324B95"/>
    <w:rsid w:val="0E3D0757"/>
    <w:rsid w:val="0E753441"/>
    <w:rsid w:val="0F2E3D3A"/>
    <w:rsid w:val="0F5C08A7"/>
    <w:rsid w:val="0FDA7A1E"/>
    <w:rsid w:val="12411FD6"/>
    <w:rsid w:val="12475DA4"/>
    <w:rsid w:val="12690D10"/>
    <w:rsid w:val="13CA46E9"/>
    <w:rsid w:val="14A84E66"/>
    <w:rsid w:val="1565422D"/>
    <w:rsid w:val="159375E3"/>
    <w:rsid w:val="160B388A"/>
    <w:rsid w:val="163559AE"/>
    <w:rsid w:val="168B7CC4"/>
    <w:rsid w:val="169326D4"/>
    <w:rsid w:val="172E07E7"/>
    <w:rsid w:val="1739327C"/>
    <w:rsid w:val="178D2CDD"/>
    <w:rsid w:val="18A40BC9"/>
    <w:rsid w:val="18AF273C"/>
    <w:rsid w:val="18AF5EEB"/>
    <w:rsid w:val="18FE477D"/>
    <w:rsid w:val="191E6BCD"/>
    <w:rsid w:val="194303E2"/>
    <w:rsid w:val="19742C91"/>
    <w:rsid w:val="19AA220F"/>
    <w:rsid w:val="19CF1C75"/>
    <w:rsid w:val="1A534654"/>
    <w:rsid w:val="1AC440B9"/>
    <w:rsid w:val="1B4D72F6"/>
    <w:rsid w:val="1BD8246D"/>
    <w:rsid w:val="1CD777BF"/>
    <w:rsid w:val="1D2D5631"/>
    <w:rsid w:val="1D682B0D"/>
    <w:rsid w:val="1DB317FE"/>
    <w:rsid w:val="1DE33F41"/>
    <w:rsid w:val="200606CF"/>
    <w:rsid w:val="205B708D"/>
    <w:rsid w:val="216058A9"/>
    <w:rsid w:val="21FF50C2"/>
    <w:rsid w:val="221D3CF0"/>
    <w:rsid w:val="231A0710"/>
    <w:rsid w:val="25292B6E"/>
    <w:rsid w:val="25746DBB"/>
    <w:rsid w:val="25871E1F"/>
    <w:rsid w:val="25ED1E01"/>
    <w:rsid w:val="26F251F5"/>
    <w:rsid w:val="27D66E7A"/>
    <w:rsid w:val="2815563F"/>
    <w:rsid w:val="282862E0"/>
    <w:rsid w:val="2A44045E"/>
    <w:rsid w:val="2A653531"/>
    <w:rsid w:val="2B5244B4"/>
    <w:rsid w:val="2B764647"/>
    <w:rsid w:val="2C8132A3"/>
    <w:rsid w:val="2D0A773C"/>
    <w:rsid w:val="2FA379D4"/>
    <w:rsid w:val="2FD822DA"/>
    <w:rsid w:val="31197F4E"/>
    <w:rsid w:val="31F42769"/>
    <w:rsid w:val="32E47929"/>
    <w:rsid w:val="33244988"/>
    <w:rsid w:val="343572B1"/>
    <w:rsid w:val="35E27945"/>
    <w:rsid w:val="364000C3"/>
    <w:rsid w:val="36421750"/>
    <w:rsid w:val="37D270A9"/>
    <w:rsid w:val="38A04AB1"/>
    <w:rsid w:val="3951224F"/>
    <w:rsid w:val="39A83386"/>
    <w:rsid w:val="39B50A30"/>
    <w:rsid w:val="39F5707E"/>
    <w:rsid w:val="3AA7481D"/>
    <w:rsid w:val="3AAA15FE"/>
    <w:rsid w:val="3AD753FE"/>
    <w:rsid w:val="3AFD443D"/>
    <w:rsid w:val="3BE21884"/>
    <w:rsid w:val="3C935BD2"/>
    <w:rsid w:val="3CCC4753"/>
    <w:rsid w:val="3DA65ED5"/>
    <w:rsid w:val="3DC40117"/>
    <w:rsid w:val="408829FA"/>
    <w:rsid w:val="41432DC5"/>
    <w:rsid w:val="4374370A"/>
    <w:rsid w:val="43790D20"/>
    <w:rsid w:val="43D47D05"/>
    <w:rsid w:val="44557097"/>
    <w:rsid w:val="452B429C"/>
    <w:rsid w:val="45633A36"/>
    <w:rsid w:val="45FE6E9A"/>
    <w:rsid w:val="46333408"/>
    <w:rsid w:val="46B02CAB"/>
    <w:rsid w:val="46E81738"/>
    <w:rsid w:val="470B6133"/>
    <w:rsid w:val="472D3DC5"/>
    <w:rsid w:val="473F6692"/>
    <w:rsid w:val="474A6C5C"/>
    <w:rsid w:val="477737C9"/>
    <w:rsid w:val="485A31F9"/>
    <w:rsid w:val="49373210"/>
    <w:rsid w:val="49816239"/>
    <w:rsid w:val="4B8F2339"/>
    <w:rsid w:val="4C7D53DD"/>
    <w:rsid w:val="4DF06083"/>
    <w:rsid w:val="4E0A0EF3"/>
    <w:rsid w:val="4E726A98"/>
    <w:rsid w:val="4E8A2033"/>
    <w:rsid w:val="4EB175C0"/>
    <w:rsid w:val="4F0A6CD0"/>
    <w:rsid w:val="4FA47125"/>
    <w:rsid w:val="50412BC6"/>
    <w:rsid w:val="50540E78"/>
    <w:rsid w:val="509048BD"/>
    <w:rsid w:val="524424F9"/>
    <w:rsid w:val="540C7047"/>
    <w:rsid w:val="54200366"/>
    <w:rsid w:val="547071DF"/>
    <w:rsid w:val="55564A1D"/>
    <w:rsid w:val="556E620B"/>
    <w:rsid w:val="55BB6F76"/>
    <w:rsid w:val="55BD684B"/>
    <w:rsid w:val="57F368A1"/>
    <w:rsid w:val="583F79EB"/>
    <w:rsid w:val="58E40592"/>
    <w:rsid w:val="59287D51"/>
    <w:rsid w:val="5A105BD4"/>
    <w:rsid w:val="5A56726E"/>
    <w:rsid w:val="5AC95C92"/>
    <w:rsid w:val="5B4134F3"/>
    <w:rsid w:val="5BD82630"/>
    <w:rsid w:val="5C245875"/>
    <w:rsid w:val="5C930305"/>
    <w:rsid w:val="5D064F7B"/>
    <w:rsid w:val="5D170F36"/>
    <w:rsid w:val="5D3E5626"/>
    <w:rsid w:val="5D470D70"/>
    <w:rsid w:val="5D5E6B65"/>
    <w:rsid w:val="60C03693"/>
    <w:rsid w:val="613100ED"/>
    <w:rsid w:val="61517997"/>
    <w:rsid w:val="616E1341"/>
    <w:rsid w:val="628C7CD0"/>
    <w:rsid w:val="63380186"/>
    <w:rsid w:val="63BC6393"/>
    <w:rsid w:val="63D97B78"/>
    <w:rsid w:val="64CE3F49"/>
    <w:rsid w:val="65091AAC"/>
    <w:rsid w:val="652F0ACC"/>
    <w:rsid w:val="65DF78AD"/>
    <w:rsid w:val="67DB0DB2"/>
    <w:rsid w:val="68182006"/>
    <w:rsid w:val="68DC4DE2"/>
    <w:rsid w:val="6A0C16F7"/>
    <w:rsid w:val="6A6634FD"/>
    <w:rsid w:val="6B5B0B88"/>
    <w:rsid w:val="6BE97F42"/>
    <w:rsid w:val="6C0A7BE6"/>
    <w:rsid w:val="6C5379DB"/>
    <w:rsid w:val="6CC62031"/>
    <w:rsid w:val="6CC87B57"/>
    <w:rsid w:val="6D2F4B04"/>
    <w:rsid w:val="6DE05374"/>
    <w:rsid w:val="6EC52DE9"/>
    <w:rsid w:val="6EEF1D13"/>
    <w:rsid w:val="6F0137F4"/>
    <w:rsid w:val="6F80296B"/>
    <w:rsid w:val="6FC10705"/>
    <w:rsid w:val="709661BE"/>
    <w:rsid w:val="70CB230C"/>
    <w:rsid w:val="719B472E"/>
    <w:rsid w:val="71C53951"/>
    <w:rsid w:val="72EC6569"/>
    <w:rsid w:val="736D76AA"/>
    <w:rsid w:val="743957DE"/>
    <w:rsid w:val="746A3BEA"/>
    <w:rsid w:val="74A92ABC"/>
    <w:rsid w:val="75055CF6"/>
    <w:rsid w:val="76911902"/>
    <w:rsid w:val="77444BC6"/>
    <w:rsid w:val="775C1F10"/>
    <w:rsid w:val="790E548B"/>
    <w:rsid w:val="7A1B0853"/>
    <w:rsid w:val="7A2D7B93"/>
    <w:rsid w:val="7A443BB4"/>
    <w:rsid w:val="7A5A200A"/>
    <w:rsid w:val="7AF83CFD"/>
    <w:rsid w:val="7B1228E5"/>
    <w:rsid w:val="7BFF730D"/>
    <w:rsid w:val="7CAE0B5C"/>
    <w:rsid w:val="7CC540B3"/>
    <w:rsid w:val="7D1B1801"/>
    <w:rsid w:val="7D6A4C5A"/>
    <w:rsid w:val="7E7B38B3"/>
    <w:rsid w:val="7EDA38C9"/>
    <w:rsid w:val="7F820039"/>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qFormat="1"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qFormat/>
    <w:uiPriority w:val="0"/>
    <w:pPr>
      <w:numPr>
        <w:ilvl w:val="0"/>
        <w:numId w:val="1"/>
      </w:numPr>
      <w:tabs>
        <w:tab w:val="left" w:pos="1624"/>
      </w:tabs>
      <w:outlineLvl w:val="1"/>
    </w:pPr>
    <w:rPr>
      <w:rFonts w:ascii="宋体-18030" w:hAnsi="宋体-18030" w:eastAsia="方正楷体_GBK" w:cs="宋体-18030"/>
      <w:kern w:val="32"/>
      <w:sz w:val="32"/>
      <w:szCs w:val="32"/>
    </w:rPr>
  </w:style>
  <w:style w:type="paragraph" w:styleId="3">
    <w:name w:val="heading 4"/>
    <w:basedOn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Body Text First Indent 2"/>
    <w:basedOn w:val="4"/>
    <w:qFormat/>
    <w:uiPriority w:val="0"/>
    <w:pPr>
      <w:spacing w:after="0"/>
      <w:ind w:left="0" w:leftChars="0" w:firstLine="420" w:firstLineChars="200"/>
    </w:pPr>
    <w:rPr>
      <w:rFonts w:ascii="仿宋_GB2312"/>
      <w:b/>
      <w:bCs/>
    </w:rPr>
  </w:style>
  <w:style w:type="character" w:styleId="8">
    <w:name w:val="Strong"/>
    <w:basedOn w:val="7"/>
    <w:qFormat/>
    <w:uiPriority w:val="0"/>
    <w:rPr>
      <w:b/>
    </w:rPr>
  </w:style>
  <w:style w:type="character" w:customStyle="1" w:styleId="9">
    <w:name w:val="content"/>
    <w:basedOn w:val="7"/>
    <w:qFormat/>
    <w:uiPriority w:val="0"/>
    <w:rPr>
      <w:rFonts w:cs="Times New Roman"/>
    </w:rPr>
  </w:style>
  <w:style w:type="character" w:customStyle="1" w:styleId="10">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4236</Words>
  <Characters>4279</Characters>
  <Lines>32</Lines>
  <Paragraphs>9</Paragraphs>
  <TotalTime>3743</TotalTime>
  <ScaleCrop>false</ScaleCrop>
  <LinksUpToDate>false</LinksUpToDate>
  <CharactersWithSpaces>4287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2023-06-06T06:21:00Z</dcterms:created>
  <dc:creator>WPS_1623031613</dc:creator>
  <cp:lastModifiedBy>唐文娟</cp:lastModifiedBy>
  <dcterms:modified xsi:type="dcterms:W3CDTF">2026-03-30T01:10:37Z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EAE0CC62A88C499599F7A865F94E5699_13</vt:lpwstr>
  </property>
  <property fmtid="{D5CDD505-2E9C-101B-9397-08002B2CF9AE}" pid="4" name="KSOTemplateDocerSaveRecord">
    <vt:lpwstr>eyJoZGlkIjoiYjA5NTI0N2FlNWQ2N2E2ODZjM2NhNGRmYmVmY2I1M2YiLCJ1c2VySWQiOiIxMjE2ODc3NTYyIn0=</vt:lpwstr>
  </property>
</Properties>
</file>