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附件</w:t>
      </w: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地名公告一览表</w:t>
      </w:r>
    </w:p>
    <w:tbl>
      <w:tblPr>
        <w:tblStyle w:val="3"/>
        <w:tblW w:w="143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51"/>
        <w:gridCol w:w="1532"/>
        <w:gridCol w:w="898"/>
        <w:gridCol w:w="981"/>
        <w:gridCol w:w="3208"/>
        <w:gridCol w:w="1197"/>
        <w:gridCol w:w="1265"/>
        <w:gridCol w:w="2273"/>
        <w:gridCol w:w="1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标准地名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罗马字母拼写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地名类别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所在区域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地理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 w:bidi="ar"/>
              </w:rPr>
              <w:t>实体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位置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批准机关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批准时间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佑康路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Yòukāng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位于顶山街道，西起沿山大道，东止西门街，长738米、宽24米，沥青路面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宁新区管复〔202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元龙路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Yuánlóng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位于顶山街道，北起佑康路（拟命名），南止浦镇大街，长1535米、宽24米，沥青路面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宁新区管复〔202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卫民路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Wèimín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位于顶山街道，北起佑康路（拟命名），东南止元龙路（拟命名），长386米、宽18米，沥青路面。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宁新区管复〔202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江山路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Jiāngshān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位于泰山街道和沿江街道，调整后，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南起南京长江大桥北引桥立交转盘与浦珠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路相连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北止南京南钢嘉华新型建材有限公司，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6.8千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宽28-42米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，沥青路面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宁新区管复〔202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调整</w:t>
            </w:r>
          </w:p>
        </w:tc>
      </w:tr>
    </w:tbl>
    <w:p>
      <w:pPr>
        <w:jc w:val="center"/>
        <w:rPr>
          <w:rFonts w:hint="eastAsia" w:eastAsia="方正小标宋_GBK"/>
          <w:sz w:val="44"/>
          <w:szCs w:val="44"/>
        </w:rPr>
      </w:pPr>
    </w:p>
    <w:p>
      <w:pPr>
        <w:spacing w:line="20" w:lineRule="exact"/>
        <w:rPr>
          <w:rFonts w:hint="eastAsia" w:eastAsia="方正仿宋_GBK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57" w:right="1474" w:bottom="1531" w:left="1474" w:header="851" w:footer="992" w:gutter="0"/>
      <w:pgNumType w:fmt="numberInDash" w:chapStyle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966D3"/>
    <w:rsid w:val="414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2011-01-01T19:17:00Z</dcterms:created>
  <dc:creator>Administrator</dc:creator>
  <cp:lastModifiedBy>Administrator</cp:lastModifiedBy>
  <dcterms:modified xsi:type="dcterms:W3CDTF">2011-01-01T19:17:36Z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