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5F517">
      <w:pPr>
        <w:spacing w:line="248" w:lineRule="auto"/>
        <w:rPr>
          <w:rFonts w:ascii="Arial"/>
          <w:sz w:val="21"/>
        </w:rPr>
      </w:pPr>
    </w:p>
    <w:p w14:paraId="36451146">
      <w:pPr>
        <w:spacing w:line="248" w:lineRule="auto"/>
        <w:rPr>
          <w:rFonts w:ascii="Arial"/>
          <w:sz w:val="21"/>
        </w:rPr>
      </w:pPr>
    </w:p>
    <w:p w14:paraId="35EC2B09">
      <w:pPr>
        <w:spacing w:line="248" w:lineRule="auto"/>
        <w:rPr>
          <w:rFonts w:ascii="Arial"/>
          <w:sz w:val="21"/>
        </w:rPr>
      </w:pPr>
    </w:p>
    <w:p w14:paraId="2F027E9A">
      <w:pPr>
        <w:spacing w:line="248" w:lineRule="auto"/>
        <w:rPr>
          <w:rFonts w:ascii="Arial"/>
          <w:sz w:val="21"/>
        </w:rPr>
      </w:pPr>
    </w:p>
    <w:p w14:paraId="57413A86">
      <w:pPr>
        <w:spacing w:line="248" w:lineRule="auto"/>
        <w:rPr>
          <w:rFonts w:ascii="Arial"/>
          <w:sz w:val="21"/>
        </w:rPr>
      </w:pPr>
    </w:p>
    <w:p w14:paraId="6A9D4A90">
      <w:pPr>
        <w:spacing w:line="248" w:lineRule="auto"/>
        <w:rPr>
          <w:rFonts w:ascii="Arial"/>
          <w:sz w:val="21"/>
        </w:rPr>
      </w:pPr>
    </w:p>
    <w:p w14:paraId="4A5E6780">
      <w:pPr>
        <w:spacing w:line="248" w:lineRule="auto"/>
        <w:rPr>
          <w:rFonts w:ascii="Arial"/>
          <w:sz w:val="21"/>
        </w:rPr>
      </w:pPr>
    </w:p>
    <w:p w14:paraId="351F68C8">
      <w:pPr>
        <w:spacing w:line="248" w:lineRule="auto"/>
        <w:rPr>
          <w:rFonts w:ascii="Arial"/>
          <w:sz w:val="21"/>
        </w:rPr>
      </w:pPr>
    </w:p>
    <w:p w14:paraId="00A1AB01">
      <w:pPr>
        <w:spacing w:line="248" w:lineRule="auto"/>
        <w:rPr>
          <w:rFonts w:ascii="Arial"/>
          <w:sz w:val="21"/>
        </w:rPr>
      </w:pPr>
    </w:p>
    <w:p w14:paraId="4897DB1E">
      <w:pPr>
        <w:spacing w:line="248" w:lineRule="auto"/>
        <w:rPr>
          <w:rFonts w:ascii="Arial"/>
          <w:sz w:val="21"/>
        </w:rPr>
      </w:pPr>
    </w:p>
    <w:p w14:paraId="372E4591">
      <w:pPr>
        <w:spacing w:before="227" w:line="219" w:lineRule="auto"/>
        <w:ind w:left="6"/>
        <w:outlineLvl w:val="0"/>
        <w:rPr>
          <w:rFonts w:ascii="宋体" w:hAnsi="宋体" w:eastAsia="宋体" w:cs="宋体"/>
          <w:sz w:val="70"/>
          <w:szCs w:val="70"/>
        </w:rPr>
      </w:pPr>
      <w:r>
        <w:rPr>
          <w:rFonts w:ascii="宋体" w:hAnsi="宋体" w:eastAsia="宋体" w:cs="宋体"/>
          <w:b/>
          <w:bCs/>
          <w:color w:val="F00030"/>
          <w:spacing w:val="-46"/>
          <w:w w:val="71"/>
          <w:sz w:val="70"/>
          <w:szCs w:val="70"/>
        </w:rPr>
        <w:t>南京江北新区管委会政务服务管理办公室文件</w:t>
      </w:r>
    </w:p>
    <w:p w14:paraId="3B90CC93">
      <w:pPr>
        <w:spacing w:line="246" w:lineRule="auto"/>
        <w:rPr>
          <w:rFonts w:ascii="Arial"/>
          <w:sz w:val="21"/>
        </w:rPr>
      </w:pPr>
    </w:p>
    <w:p w14:paraId="23EA6719">
      <w:pPr>
        <w:spacing w:line="246" w:lineRule="auto"/>
        <w:rPr>
          <w:rFonts w:ascii="Arial"/>
          <w:sz w:val="21"/>
        </w:rPr>
      </w:pPr>
    </w:p>
    <w:p w14:paraId="12E0A68C">
      <w:pPr>
        <w:spacing w:line="247" w:lineRule="auto"/>
        <w:rPr>
          <w:rFonts w:ascii="Arial"/>
          <w:sz w:val="21"/>
        </w:rPr>
      </w:pPr>
    </w:p>
    <w:p w14:paraId="38563478">
      <w:pPr>
        <w:spacing w:line="247" w:lineRule="auto"/>
        <w:rPr>
          <w:rFonts w:ascii="Arial"/>
          <w:sz w:val="21"/>
        </w:rPr>
      </w:pPr>
    </w:p>
    <w:p w14:paraId="5F9AF5F6">
      <w:pPr>
        <w:pStyle w:val="2"/>
        <w:spacing w:before="104" w:line="222" w:lineRule="auto"/>
        <w:ind w:left="2149"/>
      </w:pPr>
      <w:r>
        <w:rPr>
          <w:spacing w:val="1"/>
        </w:rPr>
        <w:t>宁新区管政环表复〔2026〕41号</w:t>
      </w:r>
    </w:p>
    <w:p w14:paraId="5C1C8B79">
      <w:pPr>
        <w:spacing w:before="204" w:line="60" w:lineRule="exact"/>
      </w:pPr>
      <w:r>
        <w:rPr>
          <w:position w:val="-1"/>
        </w:rPr>
        <w:drawing>
          <wp:inline distT="0" distB="0" distL="0" distR="0">
            <wp:extent cx="5600065" cy="374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5600667" cy="38068"/>
                    </a:xfrm>
                    <a:prstGeom prst="rect">
                      <a:avLst/>
                    </a:prstGeom>
                  </pic:spPr>
                </pic:pic>
              </a:graphicData>
            </a:graphic>
          </wp:inline>
        </w:drawing>
      </w:r>
    </w:p>
    <w:p w14:paraId="24875CE6">
      <w:pPr>
        <w:spacing w:before="353" w:line="212" w:lineRule="auto"/>
        <w:ind w:left="906" w:right="1515" w:hanging="900"/>
        <w:rPr>
          <w:rFonts w:ascii="宋体" w:hAnsi="宋体" w:eastAsia="宋体" w:cs="宋体"/>
          <w:sz w:val="48"/>
          <w:szCs w:val="48"/>
        </w:rPr>
      </w:pPr>
      <w:r>
        <w:rPr>
          <w:rFonts w:ascii="宋体" w:hAnsi="宋体" w:eastAsia="宋体" w:cs="宋体"/>
          <w:b/>
          <w:bCs/>
          <w:spacing w:val="-49"/>
          <w:sz w:val="48"/>
          <w:szCs w:val="48"/>
        </w:rPr>
        <w:t>关于空气化工至塞拉尼斯和恒河材料科技中压</w:t>
      </w:r>
      <w:r>
        <w:rPr>
          <w:rFonts w:ascii="宋体" w:hAnsi="宋体" w:eastAsia="宋体" w:cs="宋体"/>
          <w:b/>
          <w:bCs/>
          <w:spacing w:val="-45"/>
          <w:sz w:val="48"/>
          <w:szCs w:val="48"/>
        </w:rPr>
        <w:t>氮气管线项目环境影响报告表的批复</w:t>
      </w:r>
    </w:p>
    <w:p w14:paraId="58E8C863">
      <w:pPr>
        <w:spacing w:line="299" w:lineRule="auto"/>
        <w:rPr>
          <w:rFonts w:ascii="Arial"/>
          <w:sz w:val="21"/>
        </w:rPr>
      </w:pPr>
    </w:p>
    <w:p w14:paraId="1BA67E94">
      <w:pPr>
        <w:spacing w:line="299" w:lineRule="auto"/>
        <w:rPr>
          <w:rFonts w:ascii="Arial"/>
          <w:sz w:val="21"/>
        </w:rPr>
      </w:pPr>
    </w:p>
    <w:p w14:paraId="4D2AD5BA">
      <w:pPr>
        <w:pStyle w:val="2"/>
        <w:spacing w:before="104" w:line="222" w:lineRule="auto"/>
      </w:pPr>
      <w:r>
        <w:rPr>
          <w:spacing w:val="13"/>
        </w:rPr>
        <w:t>空气化工产品(南京)有限公司：</w:t>
      </w:r>
    </w:p>
    <w:p w14:paraId="720E0438">
      <w:pPr>
        <w:pStyle w:val="2"/>
        <w:spacing w:before="160" w:line="325" w:lineRule="auto"/>
        <w:ind w:right="1459" w:firstLine="660"/>
        <w:jc w:val="both"/>
      </w:pPr>
      <w:r>
        <w:rPr>
          <w:spacing w:val="-7"/>
        </w:rPr>
        <w:t>你公司报送的《空气化工至塞拉尼斯和恒河材料科技中压氮气管线项目环境影响报告表》(以下简称《报告表》)收悉。经研</w:t>
      </w:r>
      <w:r>
        <w:rPr>
          <w:spacing w:val="-12"/>
        </w:rPr>
        <w:t>究，批复如下：</w:t>
      </w:r>
    </w:p>
    <w:p w14:paraId="3276EE59">
      <w:pPr>
        <w:pStyle w:val="2"/>
        <w:spacing w:before="16" w:line="317" w:lineRule="auto"/>
        <w:ind w:right="1453" w:firstLine="660"/>
        <w:jc w:val="both"/>
      </w:pPr>
      <w:r>
        <w:rPr>
          <w:spacing w:val="10"/>
        </w:rPr>
        <w:t>一、项目(宁新区管审备〔2026〕130号)选址于南京江北</w:t>
      </w:r>
      <w:r>
        <w:rPr>
          <w:spacing w:val="-7"/>
        </w:rPr>
        <w:t>新材料科技园内，依托园区现有公共管廊，建设至塞拉尼斯和恒</w:t>
      </w:r>
      <w:r>
        <w:rPr>
          <w:spacing w:val="16"/>
        </w:rPr>
        <w:t>河材料科技的2条中压氮气管线，总长度约800米。建设内容</w:t>
      </w:r>
      <w:r>
        <w:rPr>
          <w:spacing w:val="5"/>
        </w:rPr>
        <w:t>包括：(一)自赵桥河路与化工大道交叉口</w:t>
      </w:r>
      <w:r>
        <w:rPr>
          <w:spacing w:val="4"/>
        </w:rPr>
        <w:t>预留阀门接出，敷设</w:t>
      </w:r>
      <w:r>
        <w:rPr>
          <w:spacing w:val="-4"/>
        </w:rPr>
        <w:t>一根3"(</w:t>
      </w:r>
      <w:r>
        <w:rPr>
          <w:rFonts w:ascii="Times New Roman" w:hAnsi="Times New Roman" w:eastAsia="Times New Roman" w:cs="Times New Roman"/>
          <w:spacing w:val="-4"/>
        </w:rPr>
        <w:t>DN80)</w:t>
      </w:r>
      <w:r>
        <w:rPr>
          <w:spacing w:val="-4"/>
        </w:rPr>
        <w:t>氮气管线，管线沿赵桥河路管廊及化工大道管廊</w:t>
      </w:r>
      <w:r>
        <w:rPr>
          <w:spacing w:val="-7"/>
        </w:rPr>
        <w:t>架空敷设至塞拉尼斯界区，接塞拉尼斯内部管廊，并在塞拉尼斯</w:t>
      </w:r>
    </w:p>
    <w:p w14:paraId="4F0F5C43">
      <w:pPr>
        <w:spacing w:line="317" w:lineRule="auto"/>
        <w:sectPr>
          <w:footerReference r:id="rId5" w:type="default"/>
          <w:pgSz w:w="11910" w:h="16840"/>
          <w:pgMar w:top="1431" w:right="30" w:bottom="1804" w:left="1619" w:header="0" w:footer="1478" w:gutter="0"/>
          <w:cols w:space="720" w:num="1"/>
        </w:sectPr>
      </w:pPr>
    </w:p>
    <w:p w14:paraId="4AF98FBC">
      <w:pPr>
        <w:spacing w:line="327" w:lineRule="auto"/>
        <w:rPr>
          <w:rFonts w:ascii="Arial"/>
          <w:sz w:val="21"/>
        </w:rPr>
      </w:pPr>
    </w:p>
    <w:p w14:paraId="64B454A4">
      <w:pPr>
        <w:spacing w:line="327" w:lineRule="auto"/>
        <w:rPr>
          <w:rFonts w:ascii="Arial"/>
          <w:sz w:val="21"/>
        </w:rPr>
      </w:pPr>
    </w:p>
    <w:p w14:paraId="0F582F4D">
      <w:pPr>
        <w:pStyle w:val="2"/>
        <w:spacing w:before="100" w:line="334" w:lineRule="auto"/>
        <w:ind w:firstLine="10"/>
        <w:jc w:val="both"/>
        <w:rPr>
          <w:sz w:val="31"/>
          <w:szCs w:val="31"/>
        </w:rPr>
      </w:pPr>
      <w:r>
        <w:rPr>
          <w:spacing w:val="-2"/>
          <w:sz w:val="31"/>
          <w:szCs w:val="31"/>
        </w:rPr>
        <w:t xml:space="preserve">界区内设置氮气计量站，设计流量700 </w:t>
      </w:r>
      <w:r>
        <w:rPr>
          <w:rFonts w:ascii="Times New Roman" w:hAnsi="Times New Roman" w:eastAsia="Times New Roman" w:cs="Times New Roman"/>
          <w:spacing w:val="-2"/>
          <w:sz w:val="31"/>
          <w:szCs w:val="31"/>
        </w:rPr>
        <w:t>Nm³/h,</w:t>
      </w:r>
      <w:r>
        <w:rPr>
          <w:spacing w:val="-2"/>
          <w:sz w:val="31"/>
          <w:szCs w:val="31"/>
        </w:rPr>
        <w:t>管线长度约280</w:t>
      </w:r>
      <w:r>
        <w:rPr>
          <w:spacing w:val="-3"/>
          <w:sz w:val="31"/>
          <w:szCs w:val="31"/>
        </w:rPr>
        <w:t>米；</w:t>
      </w:r>
      <w:r>
        <w:rPr>
          <w:spacing w:val="20"/>
          <w:sz w:val="31"/>
          <w:szCs w:val="31"/>
        </w:rPr>
        <w:t>(二)自化工大道上预留阀门接出，敷设一根</w:t>
      </w:r>
      <w:r>
        <w:rPr>
          <w:spacing w:val="19"/>
          <w:sz w:val="31"/>
          <w:szCs w:val="31"/>
        </w:rPr>
        <w:t>6"(</w:t>
      </w:r>
      <w:r>
        <w:rPr>
          <w:rFonts w:ascii="Times New Roman" w:hAnsi="Times New Roman" w:eastAsia="Times New Roman" w:cs="Times New Roman"/>
          <w:sz w:val="31"/>
          <w:szCs w:val="31"/>
        </w:rPr>
        <w:t>DN</w:t>
      </w:r>
      <w:r>
        <w:rPr>
          <w:rFonts w:ascii="Times New Roman" w:hAnsi="Times New Roman" w:eastAsia="Times New Roman" w:cs="Times New Roman"/>
          <w:spacing w:val="19"/>
          <w:sz w:val="31"/>
          <w:szCs w:val="31"/>
        </w:rPr>
        <w:t>150)</w:t>
      </w:r>
      <w:r>
        <w:rPr>
          <w:spacing w:val="19"/>
          <w:sz w:val="31"/>
          <w:szCs w:val="31"/>
        </w:rPr>
        <w:t>氮气</w:t>
      </w:r>
      <w:r>
        <w:rPr>
          <w:spacing w:val="2"/>
          <w:sz w:val="31"/>
          <w:szCs w:val="31"/>
        </w:rPr>
        <w:t>管线，管线沿着化工大道管廊往北架空敷设至恒河界区，接恒河</w:t>
      </w:r>
      <w:r>
        <w:rPr>
          <w:spacing w:val="24"/>
          <w:sz w:val="31"/>
          <w:szCs w:val="31"/>
        </w:rPr>
        <w:t>内部管廊，并在恒河界区内设置氮气计量站，设计流量1000</w:t>
      </w:r>
      <w:r>
        <w:rPr>
          <w:spacing w:val="7"/>
          <w:sz w:val="31"/>
          <w:szCs w:val="31"/>
        </w:rPr>
        <w:t xml:space="preserve"> </w:t>
      </w:r>
      <w:r>
        <w:rPr>
          <w:rFonts w:ascii="Times New Roman" w:hAnsi="Times New Roman" w:eastAsia="Times New Roman" w:cs="Times New Roman"/>
          <w:sz w:val="31"/>
          <w:szCs w:val="31"/>
        </w:rPr>
        <w:t>Nm</w:t>
      </w:r>
      <w:r>
        <w:rPr>
          <w:rFonts w:ascii="Times New Roman" w:hAnsi="Times New Roman" w:eastAsia="Times New Roman" w:cs="Times New Roman"/>
          <w:spacing w:val="16"/>
          <w:sz w:val="31"/>
          <w:szCs w:val="31"/>
        </w:rPr>
        <w:t>³/h,</w:t>
      </w:r>
      <w:r>
        <w:rPr>
          <w:spacing w:val="16"/>
          <w:sz w:val="31"/>
          <w:szCs w:val="31"/>
        </w:rPr>
        <w:t>管线长度约520米。项目总投资349万元，其中环保投</w:t>
      </w:r>
      <w:r>
        <w:rPr>
          <w:spacing w:val="25"/>
          <w:sz w:val="31"/>
          <w:szCs w:val="31"/>
        </w:rPr>
        <w:t>资12万元。</w:t>
      </w:r>
    </w:p>
    <w:p w14:paraId="71B015FF">
      <w:pPr>
        <w:pStyle w:val="2"/>
        <w:spacing w:before="2" w:line="291" w:lineRule="auto"/>
        <w:ind w:left="10" w:right="261" w:firstLine="650"/>
      </w:pPr>
      <w:r>
        <w:rPr>
          <w:spacing w:val="-9"/>
        </w:rPr>
        <w:t>二、根据环评报告结论，在严格落实《报告表》提出的各项污染防治和环境风险防范措施的前提下，从环保角</w:t>
      </w:r>
      <w:r>
        <w:rPr>
          <w:spacing w:val="-10"/>
        </w:rPr>
        <w:t>度分析，该项</w:t>
      </w:r>
      <w:r>
        <w:rPr>
          <w:spacing w:val="-17"/>
        </w:rPr>
        <w:t>目建设可行。</w:t>
      </w:r>
    </w:p>
    <w:p w14:paraId="7E4737DD">
      <w:pPr>
        <w:pStyle w:val="2"/>
        <w:spacing w:before="194" w:line="292" w:lineRule="auto"/>
        <w:ind w:left="10" w:right="240" w:firstLine="680"/>
        <w:rPr>
          <w:sz w:val="31"/>
          <w:szCs w:val="31"/>
        </w:rPr>
      </w:pPr>
      <w:r>
        <w:rPr>
          <w:spacing w:val="1"/>
          <w:sz w:val="31"/>
          <w:szCs w:val="31"/>
        </w:rPr>
        <w:t>三、在项目工程设计、建设和管理中，落实《报告表</w:t>
      </w:r>
      <w:r>
        <w:rPr>
          <w:sz w:val="31"/>
          <w:szCs w:val="31"/>
        </w:rPr>
        <w:t>》提出</w:t>
      </w:r>
      <w:r>
        <w:rPr>
          <w:spacing w:val="-10"/>
          <w:sz w:val="31"/>
          <w:szCs w:val="31"/>
        </w:rPr>
        <w:t>的各项环保措施，严格执行环保“三同时”制度，并重点做好以下</w:t>
      </w:r>
      <w:r>
        <w:rPr>
          <w:spacing w:val="-13"/>
          <w:sz w:val="31"/>
          <w:szCs w:val="31"/>
        </w:rPr>
        <w:t>工作：</w:t>
      </w:r>
    </w:p>
    <w:p w14:paraId="473D0A54">
      <w:pPr>
        <w:pStyle w:val="2"/>
        <w:spacing w:before="185" w:line="270" w:lineRule="auto"/>
        <w:ind w:left="10" w:right="111" w:firstLine="789"/>
      </w:pPr>
      <w:r>
        <w:rPr>
          <w:spacing w:val="-3"/>
        </w:rPr>
        <w:t>(一)依据《报告表》所述，本项目不设置施工营地，不进行土方施工，管线沿线不设置临时材料堆场，不占用园区土地。</w:t>
      </w:r>
    </w:p>
    <w:p w14:paraId="28857D11">
      <w:pPr>
        <w:pStyle w:val="2"/>
        <w:spacing w:before="183" w:line="289" w:lineRule="auto"/>
        <w:ind w:left="10" w:right="165" w:firstLine="789"/>
      </w:pPr>
      <w:r>
        <w:rPr>
          <w:spacing w:val="-1"/>
        </w:rPr>
        <w:t>(二)项目施工期管道试压废水分别收集至塞</w:t>
      </w:r>
      <w:r>
        <w:rPr>
          <w:spacing w:val="-2"/>
        </w:rPr>
        <w:t>拉尼斯和恒河</w:t>
      </w:r>
      <w:r>
        <w:rPr>
          <w:spacing w:val="-5"/>
        </w:rPr>
        <w:t>材料科技现有废水处理系统处理达园区污水处理厂接管要求后，接管至园区污水处理厂集中处理。运营期无废水产生。</w:t>
      </w:r>
    </w:p>
    <w:p w14:paraId="2D5B4FDE">
      <w:pPr>
        <w:pStyle w:val="2"/>
        <w:spacing w:before="182" w:line="296" w:lineRule="auto"/>
        <w:ind w:left="10" w:right="85" w:firstLine="789"/>
      </w:pPr>
      <w:r>
        <w:rPr>
          <w:spacing w:val="5"/>
        </w:rPr>
        <w:t>(三)落实《报告表》提出的各项大气污染物的防治措</w:t>
      </w:r>
      <w:r>
        <w:rPr>
          <w:spacing w:val="4"/>
        </w:rPr>
        <w:t>施。</w:t>
      </w:r>
      <w:r>
        <w:rPr>
          <w:spacing w:val="-8"/>
        </w:rPr>
        <w:t>加强施工期施工机械和运输车辆产生的废气、施工扬尘管理，施</w:t>
      </w:r>
      <w:r>
        <w:rPr>
          <w:spacing w:val="-2"/>
        </w:rPr>
        <w:t>工所用涂料选用低</w:t>
      </w:r>
      <w:r>
        <w:rPr>
          <w:rFonts w:ascii="Times New Roman" w:hAnsi="Times New Roman" w:eastAsia="Times New Roman" w:cs="Times New Roman"/>
          <w:spacing w:val="-2"/>
        </w:rPr>
        <w:t>VOCs</w:t>
      </w:r>
      <w:r>
        <w:rPr>
          <w:spacing w:val="-2"/>
        </w:rPr>
        <w:t>含量涂料，减少对周边环境的</w:t>
      </w:r>
      <w:r>
        <w:rPr>
          <w:spacing w:val="-3"/>
        </w:rPr>
        <w:t>影响。</w:t>
      </w:r>
      <w:r>
        <w:rPr>
          <w:spacing w:val="-7"/>
        </w:rPr>
        <w:t>运营期无废气产生。</w:t>
      </w:r>
    </w:p>
    <w:p w14:paraId="68331CC0">
      <w:pPr>
        <w:pStyle w:val="2"/>
        <w:spacing w:before="212" w:line="222" w:lineRule="auto"/>
        <w:ind w:left="799"/>
        <w:rPr>
          <w:sz w:val="31"/>
          <w:szCs w:val="31"/>
        </w:rPr>
      </w:pPr>
      <w:r>
        <w:rPr>
          <w:spacing w:val="8"/>
          <w:sz w:val="31"/>
          <w:szCs w:val="31"/>
        </w:rPr>
        <w:t>(四)落实各项噪声污染防治措施。施工期须使用低噪声工</w:t>
      </w:r>
    </w:p>
    <w:p w14:paraId="7A3B5609">
      <w:pPr>
        <w:spacing w:line="222" w:lineRule="auto"/>
        <w:rPr>
          <w:sz w:val="31"/>
          <w:szCs w:val="31"/>
        </w:rPr>
        <w:sectPr>
          <w:footerReference r:id="rId6" w:type="default"/>
          <w:pgSz w:w="11910" w:h="16840"/>
          <w:pgMar w:top="1431" w:right="1315" w:bottom="1720" w:left="1579" w:header="0" w:footer="1506" w:gutter="0"/>
          <w:cols w:space="720" w:num="1"/>
        </w:sectPr>
      </w:pPr>
    </w:p>
    <w:p w14:paraId="147FADC6">
      <w:pPr>
        <w:spacing w:line="304" w:lineRule="auto"/>
        <w:rPr>
          <w:rFonts w:ascii="Arial"/>
          <w:sz w:val="21"/>
        </w:rPr>
      </w:pPr>
    </w:p>
    <w:p w14:paraId="1EDBA89A">
      <w:pPr>
        <w:spacing w:line="304" w:lineRule="auto"/>
        <w:rPr>
          <w:rFonts w:ascii="Arial"/>
          <w:sz w:val="21"/>
        </w:rPr>
      </w:pPr>
    </w:p>
    <w:p w14:paraId="01B01EEC">
      <w:pPr>
        <w:pStyle w:val="2"/>
        <w:spacing w:before="104" w:line="319" w:lineRule="auto"/>
        <w:ind w:right="646"/>
      </w:pPr>
      <w:r>
        <w:rPr>
          <w:spacing w:val="-11"/>
        </w:rPr>
        <w:t>程机械，噪声排放执行《建筑施工噪声排放标准</w:t>
      </w:r>
      <w:r>
        <w:rPr>
          <w:rFonts w:ascii="Times New Roman" w:hAnsi="Times New Roman" w:eastAsia="Times New Roman" w:cs="Times New Roman"/>
          <w:spacing w:val="-11"/>
        </w:rPr>
        <w:t>XGB</w:t>
      </w:r>
      <w:r>
        <w:rPr>
          <w:rFonts w:ascii="Times New Roman" w:hAnsi="Times New Roman" w:eastAsia="Times New Roman" w:cs="Times New Roman"/>
          <w:spacing w:val="18"/>
        </w:rPr>
        <w:t xml:space="preserve"> </w:t>
      </w:r>
      <w:r>
        <w:rPr>
          <w:rFonts w:ascii="Times New Roman" w:hAnsi="Times New Roman" w:eastAsia="Times New Roman" w:cs="Times New Roman"/>
          <w:spacing w:val="-11"/>
        </w:rPr>
        <w:t>1252</w:t>
      </w:r>
      <w:r>
        <w:rPr>
          <w:rFonts w:ascii="Times New Roman" w:hAnsi="Times New Roman" w:eastAsia="Times New Roman" w:cs="Times New Roman"/>
          <w:spacing w:val="-12"/>
        </w:rPr>
        <w:t>3-2025)</w:t>
      </w:r>
      <w:r>
        <w:rPr>
          <w:spacing w:val="-8"/>
        </w:rPr>
        <w:t>相关要求。运营期厂界噪声达到《工业企业厂界环境噪声排放标</w:t>
      </w:r>
      <w:r>
        <w:rPr>
          <w:spacing w:val="-10"/>
        </w:rPr>
        <w:t>准》(</w:t>
      </w:r>
      <w:r>
        <w:rPr>
          <w:rFonts w:ascii="Times New Roman" w:hAnsi="Times New Roman" w:eastAsia="Times New Roman" w:cs="Times New Roman"/>
          <w:spacing w:val="-10"/>
        </w:rPr>
        <w:t>GB12348-2008)3</w:t>
      </w:r>
      <w:r>
        <w:rPr>
          <w:spacing w:val="-10"/>
        </w:rPr>
        <w:t>类标准要求。</w:t>
      </w:r>
    </w:p>
    <w:p w14:paraId="751E0C8C">
      <w:pPr>
        <w:pStyle w:val="2"/>
        <w:spacing w:before="60" w:line="318" w:lineRule="auto"/>
        <w:ind w:right="799" w:firstLine="769"/>
        <w:jc w:val="both"/>
      </w:pPr>
      <w:r>
        <w:rPr>
          <w:spacing w:val="-11"/>
        </w:rPr>
        <w:t>(五)按“减量化、资源化、无害化”的原则，落实各类固体</w:t>
      </w:r>
      <w:r>
        <w:rPr>
          <w:spacing w:val="-7"/>
        </w:rPr>
        <w:t>废物的收集、贮存、处置措施。管道施工产生的废油漆桶</w:t>
      </w:r>
      <w:r>
        <w:rPr>
          <w:spacing w:val="-8"/>
        </w:rPr>
        <w:t>、废油</w:t>
      </w:r>
      <w:r>
        <w:rPr>
          <w:spacing w:val="-7"/>
        </w:rPr>
        <w:t>漆刷等危险废物须送有资质单位处置，转移处置时按规定办理相关环保手续。危险废物贮存场所须符合《危险废物贮存污染控制</w:t>
      </w:r>
      <w:r>
        <w:rPr>
          <w:spacing w:val="-2"/>
        </w:rPr>
        <w:t>标准》(</w:t>
      </w:r>
      <w:r>
        <w:rPr>
          <w:rFonts w:ascii="Times New Roman" w:hAnsi="Times New Roman" w:eastAsia="Times New Roman" w:cs="Times New Roman"/>
          <w:spacing w:val="-2"/>
        </w:rPr>
        <w:t>GB18597-2023),</w:t>
      </w:r>
      <w:r>
        <w:rPr>
          <w:spacing w:val="-2"/>
        </w:rPr>
        <w:t>固体废物管理须满足《江苏省固体废</w:t>
      </w:r>
      <w:r>
        <w:rPr>
          <w:spacing w:val="4"/>
        </w:rPr>
        <w:t>物全过程环境监管工作意见》(苏环办〔2024〕16</w:t>
      </w:r>
      <w:r>
        <w:rPr>
          <w:spacing w:val="3"/>
        </w:rPr>
        <w:t>号)要求，禁</w:t>
      </w:r>
      <w:r>
        <w:rPr>
          <w:spacing w:val="-6"/>
        </w:rPr>
        <w:t>止非法排放、倾倒、处置任何危险废物。</w:t>
      </w:r>
    </w:p>
    <w:p w14:paraId="4A8098DD">
      <w:pPr>
        <w:pStyle w:val="2"/>
        <w:spacing w:before="52" w:line="296" w:lineRule="auto"/>
        <w:ind w:right="826" w:firstLine="680"/>
      </w:pPr>
      <w:r>
        <w:rPr>
          <w:spacing w:val="-12"/>
        </w:rPr>
        <w:t>四、加强环境风险管理，落实《报告表》提出的各项风险防</w:t>
      </w:r>
      <w:r>
        <w:rPr>
          <w:spacing w:val="-9"/>
        </w:rPr>
        <w:t>范和应急措施，修订突发环境事件应急预案并报南京江北新区生</w:t>
      </w:r>
      <w:r>
        <w:rPr>
          <w:spacing w:val="4"/>
        </w:rPr>
        <w:t>态环境和水务局(市生态环境局江北新区分局)备案，定期进行</w:t>
      </w:r>
      <w:r>
        <w:rPr>
          <w:spacing w:val="-16"/>
        </w:rPr>
        <w:t>演练。</w:t>
      </w:r>
    </w:p>
    <w:p w14:paraId="698D919F">
      <w:pPr>
        <w:pStyle w:val="2"/>
        <w:spacing w:before="203" w:line="309" w:lineRule="auto"/>
        <w:ind w:right="608" w:firstLine="680"/>
      </w:pPr>
      <w:r>
        <w:rPr>
          <w:spacing w:val="2"/>
          <w:sz w:val="31"/>
          <w:szCs w:val="31"/>
        </w:rPr>
        <w:t>五、项目建设过程中，认真组织实施《报告表》及本批复中</w:t>
      </w:r>
      <w:r>
        <w:rPr>
          <w:spacing w:val="-8"/>
        </w:rPr>
        <w:t>提出的环境保护措施。项目配套的污染防治设施必须与主体工程同时设计、同时施工、同时投产使用。项目竣工后，按照规定对配套建设的环境保护设施进行验收。项目运营期的日常环境监管</w:t>
      </w:r>
      <w:r>
        <w:rPr>
          <w:spacing w:val="1"/>
        </w:rPr>
        <w:t>由南京江北新区生态环境和水务局(市生态环境局江北新区分局)</w:t>
      </w:r>
      <w:r>
        <w:rPr>
          <w:spacing w:val="-12"/>
        </w:rPr>
        <w:t>负责。</w:t>
      </w:r>
    </w:p>
    <w:p w14:paraId="13CBD0B5">
      <w:pPr>
        <w:pStyle w:val="2"/>
        <w:spacing w:before="165" w:line="274" w:lineRule="auto"/>
        <w:ind w:right="786" w:firstLine="680"/>
      </w:pPr>
      <w:r>
        <w:rPr>
          <w:spacing w:val="-7"/>
        </w:rPr>
        <w:t>六、该项目批复后，项目的性质、规模、地点</w:t>
      </w:r>
      <w:r>
        <w:rPr>
          <w:spacing w:val="-8"/>
        </w:rPr>
        <w:t>、采用的生产工艺或者防治污染、防止生态破坏的措施发生重大变动的，应当</w:t>
      </w:r>
    </w:p>
    <w:p w14:paraId="00F99D5E">
      <w:pPr>
        <w:spacing w:line="274" w:lineRule="auto"/>
        <w:sectPr>
          <w:footerReference r:id="rId7" w:type="default"/>
          <w:pgSz w:w="11910" w:h="16840"/>
          <w:pgMar w:top="1431" w:right="689" w:bottom="1786" w:left="1619" w:header="0" w:footer="1474" w:gutter="0"/>
          <w:cols w:space="720" w:num="1"/>
        </w:sectPr>
      </w:pPr>
    </w:p>
    <w:p w14:paraId="41307311">
      <w:pPr>
        <w:spacing w:line="355" w:lineRule="auto"/>
        <w:rPr>
          <w:rFonts w:ascii="Arial"/>
          <w:sz w:val="21"/>
        </w:rPr>
      </w:pPr>
    </w:p>
    <w:p w14:paraId="1A088B6F">
      <w:pPr>
        <w:spacing w:line="356" w:lineRule="auto"/>
        <w:rPr>
          <w:rFonts w:ascii="Arial"/>
          <w:sz w:val="21"/>
        </w:rPr>
      </w:pPr>
    </w:p>
    <w:p w14:paraId="40286E33">
      <w:pPr>
        <w:pStyle w:val="2"/>
        <w:spacing w:before="104" w:line="318" w:lineRule="auto"/>
        <w:ind w:left="31" w:right="130"/>
      </w:pPr>
      <w:r>
        <w:rPr>
          <w:spacing w:val="-7"/>
        </w:rPr>
        <w:t>重新报批环境影响评价文件。自本批复文件批准之日起，如超过</w:t>
      </w:r>
      <w:r>
        <w:t>5年方开工建设的，环境影响评价文件应当重新报审。</w:t>
      </w:r>
    </w:p>
    <w:p w14:paraId="6B3206CF">
      <w:pPr>
        <w:pStyle w:val="2"/>
        <w:spacing w:before="13" w:line="298" w:lineRule="auto"/>
        <w:ind w:left="31" w:firstLine="670"/>
      </w:pPr>
      <w:r>
        <w:rPr>
          <w:spacing w:val="-4"/>
        </w:rPr>
        <w:t>七、国家或地方对该项目污染物排放有新标准、新要求的，</w:t>
      </w:r>
      <w:r>
        <w:rPr>
          <w:spacing w:val="-11"/>
        </w:rPr>
        <w:t>从其规定。</w:t>
      </w:r>
    </w:p>
    <w:p w14:paraId="3A85DE7D">
      <w:pPr>
        <w:spacing w:line="270" w:lineRule="auto"/>
        <w:rPr>
          <w:rFonts w:ascii="Arial"/>
          <w:sz w:val="21"/>
        </w:rPr>
      </w:pPr>
    </w:p>
    <w:p w14:paraId="01678474">
      <w:pPr>
        <w:spacing w:line="270" w:lineRule="auto"/>
        <w:rPr>
          <w:rFonts w:ascii="Arial"/>
          <w:sz w:val="21"/>
        </w:rPr>
      </w:pPr>
    </w:p>
    <w:p w14:paraId="782E5806">
      <w:pPr>
        <w:spacing w:line="270" w:lineRule="auto"/>
        <w:rPr>
          <w:rFonts w:ascii="Arial"/>
          <w:sz w:val="21"/>
        </w:rPr>
      </w:pPr>
    </w:p>
    <w:p w14:paraId="0ABCFCAB">
      <w:pPr>
        <w:spacing w:line="270" w:lineRule="auto"/>
        <w:rPr>
          <w:rFonts w:ascii="Arial"/>
          <w:sz w:val="21"/>
        </w:rPr>
      </w:pPr>
    </w:p>
    <w:p w14:paraId="5527D7A7">
      <w:pPr>
        <w:spacing w:line="271" w:lineRule="auto"/>
        <w:rPr>
          <w:rFonts w:ascii="Arial"/>
          <w:sz w:val="21"/>
        </w:rPr>
      </w:pPr>
    </w:p>
    <w:p w14:paraId="2CB725B1">
      <w:pPr>
        <w:spacing w:line="271" w:lineRule="auto"/>
        <w:rPr>
          <w:rFonts w:ascii="Arial"/>
          <w:sz w:val="21"/>
        </w:rPr>
      </w:pPr>
    </w:p>
    <w:p w14:paraId="1084CACA">
      <w:pPr>
        <w:pStyle w:val="2"/>
        <w:spacing w:before="108" w:line="320" w:lineRule="auto"/>
        <w:ind w:left="4151" w:right="106" w:hanging="1660"/>
        <w:rPr>
          <w:rFonts w:hint="eastAsia" w:eastAsia="仿宋"/>
          <w:lang w:eastAsia="zh-CN"/>
        </w:rPr>
      </w:pPr>
      <w:r>
        <w:rPr>
          <w:spacing w:val="-14"/>
          <w:sz w:val="33"/>
          <w:szCs w:val="33"/>
        </w:rPr>
        <w:t>南京江北新区管理委员会政务服务管理办公室</w:t>
      </w:r>
      <w:r>
        <w:rPr>
          <w:spacing w:val="29"/>
          <w:sz w:val="33"/>
          <w:szCs w:val="33"/>
        </w:rPr>
        <w:t>2026年4月24</w:t>
      </w:r>
      <w:r>
        <w:rPr>
          <w:rFonts w:hint="eastAsia"/>
          <w:sz w:val="33"/>
          <w:szCs w:val="33"/>
          <w:lang w:eastAsia="zh-CN"/>
        </w:rPr>
        <w:t>日</w:t>
      </w:r>
      <w:bookmarkStart w:id="0" w:name="_GoBack"/>
      <w:bookmarkEnd w:id="0"/>
    </w:p>
    <w:p w14:paraId="3A3FE7C9">
      <w:pPr>
        <w:spacing w:before="8"/>
      </w:pPr>
    </w:p>
    <w:p w14:paraId="4CBF66AD">
      <w:pPr>
        <w:spacing w:before="8"/>
      </w:pPr>
    </w:p>
    <w:p w14:paraId="7EF97F4E">
      <w:pPr>
        <w:spacing w:before="8"/>
      </w:pPr>
    </w:p>
    <w:p w14:paraId="3E8D1952">
      <w:pPr>
        <w:spacing w:before="8"/>
      </w:pPr>
    </w:p>
    <w:p w14:paraId="63CD7332">
      <w:pPr>
        <w:spacing w:before="8"/>
      </w:pPr>
    </w:p>
    <w:p w14:paraId="23B9B655">
      <w:pPr>
        <w:spacing w:before="8"/>
      </w:pPr>
    </w:p>
    <w:p w14:paraId="46D39CDD">
      <w:pPr>
        <w:spacing w:before="8"/>
      </w:pPr>
    </w:p>
    <w:p w14:paraId="2988740F">
      <w:pPr>
        <w:spacing w:before="8"/>
      </w:pPr>
    </w:p>
    <w:p w14:paraId="40AE5947">
      <w:pPr>
        <w:spacing w:before="8"/>
      </w:pPr>
    </w:p>
    <w:p w14:paraId="39354B63">
      <w:pPr>
        <w:spacing w:before="8"/>
      </w:pPr>
    </w:p>
    <w:p w14:paraId="7422DF40">
      <w:pPr>
        <w:spacing w:before="8"/>
      </w:pPr>
    </w:p>
    <w:p w14:paraId="43D15991">
      <w:pPr>
        <w:spacing w:before="8"/>
      </w:pPr>
    </w:p>
    <w:p w14:paraId="3CC611BC">
      <w:pPr>
        <w:spacing w:before="8"/>
      </w:pPr>
    </w:p>
    <w:p w14:paraId="20D69C76">
      <w:pPr>
        <w:spacing w:before="8"/>
      </w:pPr>
    </w:p>
    <w:p w14:paraId="2BF93EED">
      <w:pPr>
        <w:spacing w:before="8"/>
      </w:pPr>
    </w:p>
    <w:p w14:paraId="074EE8AC">
      <w:pPr>
        <w:spacing w:before="8"/>
      </w:pPr>
    </w:p>
    <w:p w14:paraId="4E029ECD">
      <w:pPr>
        <w:spacing w:before="7"/>
      </w:pPr>
    </w:p>
    <w:p w14:paraId="54C821CD">
      <w:pPr>
        <w:spacing w:before="7"/>
      </w:pPr>
    </w:p>
    <w:p w14:paraId="3C5C9798">
      <w:pPr>
        <w:spacing w:before="7"/>
      </w:pPr>
    </w:p>
    <w:p w14:paraId="27761D36">
      <w:pPr>
        <w:spacing w:before="7"/>
      </w:pPr>
    </w:p>
    <w:tbl>
      <w:tblPr>
        <w:tblStyle w:val="5"/>
        <w:tblW w:w="883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831"/>
      </w:tblGrid>
      <w:tr w14:paraId="1BAE7F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92" w:hRule="atLeast"/>
        </w:trPr>
        <w:tc>
          <w:tcPr>
            <w:tcW w:w="8831" w:type="dxa"/>
            <w:tcBorders>
              <w:top w:val="single" w:color="000000" w:sz="8" w:space="0"/>
              <w:bottom w:val="single" w:color="000000" w:sz="8" w:space="0"/>
            </w:tcBorders>
            <w:vAlign w:val="top"/>
          </w:tcPr>
          <w:p w14:paraId="6BEE7B7C">
            <w:pPr>
              <w:spacing w:before="230" w:line="319" w:lineRule="auto"/>
              <w:ind w:left="31" w:right="276"/>
              <w:jc w:val="both"/>
              <w:rPr>
                <w:rFonts w:ascii="仿宋" w:hAnsi="仿宋" w:eastAsia="仿宋" w:cs="仿宋"/>
                <w:sz w:val="28"/>
                <w:szCs w:val="28"/>
              </w:rPr>
            </w:pPr>
            <w:r>
              <w:rPr>
                <w:rFonts w:ascii="仿宋" w:hAnsi="仿宋" w:eastAsia="仿宋" w:cs="仿宋"/>
                <w:spacing w:val="-1"/>
                <w:sz w:val="28"/>
                <w:szCs w:val="28"/>
              </w:rPr>
              <w:t>抄送：南京江北新区管理委员会生态环境和水务局(市生态环境局江北新区分局)、应急管理局，新材料科技园管理办公室，江苏国恒安全评</w:t>
            </w:r>
            <w:r>
              <w:rPr>
                <w:rFonts w:ascii="仿宋" w:hAnsi="仿宋" w:eastAsia="仿宋" w:cs="仿宋"/>
                <w:spacing w:val="-7"/>
                <w:sz w:val="28"/>
                <w:szCs w:val="28"/>
              </w:rPr>
              <w:t>价咨询服务公司。</w:t>
            </w:r>
          </w:p>
        </w:tc>
      </w:tr>
      <w:tr w14:paraId="3B9348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2" w:hRule="atLeast"/>
        </w:trPr>
        <w:tc>
          <w:tcPr>
            <w:tcW w:w="8831" w:type="dxa"/>
            <w:tcBorders>
              <w:top w:val="single" w:color="000000" w:sz="8" w:space="0"/>
              <w:bottom w:val="single" w:color="000000" w:sz="4" w:space="0"/>
            </w:tcBorders>
            <w:vAlign w:val="top"/>
          </w:tcPr>
          <w:p w14:paraId="4DC31655">
            <w:pPr>
              <w:spacing w:before="206" w:line="175" w:lineRule="auto"/>
              <w:ind w:left="31"/>
              <w:rPr>
                <w:rFonts w:ascii="仿宋" w:hAnsi="仿宋" w:eastAsia="仿宋" w:cs="仿宋"/>
                <w:sz w:val="28"/>
                <w:szCs w:val="28"/>
              </w:rPr>
            </w:pPr>
            <w:r>
              <w:rPr>
                <w:rFonts w:ascii="仿宋" w:hAnsi="仿宋" w:eastAsia="仿宋" w:cs="仿宋"/>
                <w:spacing w:val="22"/>
                <w:sz w:val="28"/>
                <w:szCs w:val="28"/>
              </w:rPr>
              <w:t>南京江北新区管委会政务服务管理办公室2026年</w:t>
            </w:r>
            <w:r>
              <w:rPr>
                <w:rFonts w:hint="eastAsia" w:ascii="仿宋" w:hAnsi="仿宋" w:eastAsia="仿宋" w:cs="仿宋"/>
                <w:spacing w:val="22"/>
                <w:sz w:val="28"/>
                <w:szCs w:val="28"/>
                <w:lang w:val="en-US" w:eastAsia="zh-CN"/>
              </w:rPr>
              <w:t xml:space="preserve">   </w:t>
            </w:r>
            <w:r>
              <w:rPr>
                <w:rFonts w:ascii="仿宋" w:hAnsi="仿宋" w:eastAsia="仿宋" w:cs="仿宋"/>
                <w:spacing w:val="22"/>
                <w:sz w:val="28"/>
                <w:szCs w:val="28"/>
              </w:rPr>
              <w:t>4月24</w:t>
            </w:r>
            <w:r>
              <w:rPr>
                <w:rFonts w:hint="eastAsia" w:ascii="仿宋" w:hAnsi="仿宋" w:eastAsia="仿宋" w:cs="仿宋"/>
                <w:spacing w:val="22"/>
                <w:sz w:val="28"/>
                <w:szCs w:val="28"/>
                <w:lang w:eastAsia="zh-CN"/>
              </w:rPr>
              <w:t>日</w:t>
            </w:r>
            <w:r>
              <w:rPr>
                <w:rFonts w:ascii="仿宋" w:hAnsi="仿宋" w:eastAsia="仿宋" w:cs="仿宋"/>
                <w:spacing w:val="22"/>
                <w:sz w:val="28"/>
                <w:szCs w:val="28"/>
              </w:rPr>
              <w:t>印发</w:t>
            </w:r>
          </w:p>
        </w:tc>
      </w:tr>
    </w:tbl>
    <w:p w14:paraId="373D9918">
      <w:pPr>
        <w:rPr>
          <w:rFonts w:ascii="Arial"/>
          <w:sz w:val="21"/>
        </w:rPr>
      </w:pPr>
    </w:p>
    <w:sectPr>
      <w:footerReference r:id="rId8" w:type="default"/>
      <w:pgSz w:w="11910" w:h="16840"/>
      <w:pgMar w:top="1431" w:right="1433" w:bottom="1754" w:left="1548" w:header="0" w:footer="142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BC47C">
    <w:pPr>
      <w:spacing w:line="233" w:lineRule="auto"/>
      <w:ind w:left="7630"/>
      <w:rPr>
        <w:rFonts w:ascii="宋体" w:hAnsi="宋体" w:eastAsia="宋体" w:cs="宋体"/>
        <w:sz w:val="25"/>
        <w:szCs w:val="25"/>
      </w:rPr>
    </w:pPr>
    <w:r>
      <w:rPr>
        <w:rFonts w:ascii="宋体" w:hAnsi="宋体" w:eastAsia="宋体" w:cs="宋体"/>
        <w:spacing w:val="-3"/>
        <w:sz w:val="25"/>
        <w:szCs w:val="25"/>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8F1B3">
    <w:pPr>
      <w:spacing w:before="1" w:line="171" w:lineRule="auto"/>
      <w:ind w:left="239"/>
      <w:rPr>
        <w:rFonts w:ascii="Times New Roman" w:hAnsi="Times New Roman" w:eastAsia="Times New Roman" w:cs="Times New Roman"/>
        <w:sz w:val="22"/>
        <w:szCs w:val="22"/>
      </w:rPr>
    </w:pPr>
    <w:r>
      <w:rPr>
        <w:rFonts w:ascii="宋体" w:hAnsi="宋体" w:eastAsia="宋体" w:cs="宋体"/>
        <w:spacing w:val="-4"/>
        <w:sz w:val="22"/>
        <w:szCs w:val="22"/>
      </w:rPr>
      <w:t>—</w:t>
    </w:r>
    <w:r>
      <w:rPr>
        <w:rFonts w:ascii="宋体" w:hAnsi="宋体" w:eastAsia="宋体" w:cs="宋体"/>
        <w:spacing w:val="88"/>
        <w:sz w:val="22"/>
        <w:szCs w:val="22"/>
      </w:rPr>
      <w:t xml:space="preserve"> </w:t>
    </w:r>
    <w:r>
      <w:rPr>
        <w:rFonts w:ascii="Times New Roman" w:hAnsi="Times New Roman" w:eastAsia="Times New Roman" w:cs="Times New Roman"/>
        <w:spacing w:val="-4"/>
        <w:sz w:val="22"/>
        <w:szCs w:val="22"/>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458AB">
    <w:pPr>
      <w:spacing w:before="1" w:line="231" w:lineRule="auto"/>
      <w:ind w:left="7640"/>
      <w:rPr>
        <w:rFonts w:ascii="宋体" w:hAnsi="宋体" w:eastAsia="宋体" w:cs="宋体"/>
        <w:sz w:val="24"/>
        <w:szCs w:val="24"/>
      </w:rPr>
    </w:pPr>
    <w:r>
      <w:rPr>
        <w:rFonts w:ascii="宋体" w:hAnsi="宋体" w:eastAsia="宋体" w:cs="宋体"/>
        <w:spacing w:val="-3"/>
        <w:sz w:val="24"/>
        <w:szCs w:val="2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572F">
    <w:pPr>
      <w:spacing w:line="233" w:lineRule="auto"/>
      <w:ind w:left="231"/>
      <w:rPr>
        <w:rFonts w:ascii="宋体" w:hAnsi="宋体" w:eastAsia="宋体" w:cs="宋体"/>
        <w:sz w:val="25"/>
        <w:szCs w:val="25"/>
      </w:rPr>
    </w:pPr>
    <w:r>
      <w:rPr>
        <w:rFonts w:ascii="宋体" w:hAnsi="宋体" w:eastAsia="宋体" w:cs="宋体"/>
        <w:spacing w:val="-3"/>
        <w:sz w:val="25"/>
        <w:szCs w:val="25"/>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E270920"/>
    <w:rsid w:val="705825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1518</Words>
  <Characters>1621</Characters>
  <TotalTime>3</TotalTime>
  <ScaleCrop>false</ScaleCrop>
  <LinksUpToDate>false</LinksUpToDate>
  <CharactersWithSpaces>1624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2026-05-06T14:38:00Z</dcterms:created>
  <dc:creator>Administrator</dc:creator>
  <cp:lastModifiedBy>杨予昕</cp:lastModifiedBy>
  <dcterms:modified xsi:type="dcterms:W3CDTF">2026-05-08T09:12:02Z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2026-05-06T14:38:44Z</vt:filetime>
  </property>
  <property fmtid="{D5CDD505-2E9C-101B-9397-08002B2CF9AE}" pid="4" name="UsrData">
    <vt:lpwstr>69fae1f17fe946001f8430d6wl</vt:lpwstr>
  </property>
  <property fmtid="{D5CDD505-2E9C-101B-9397-08002B2CF9AE}" pid="5" name="KSOTemplateDocerSaveRecord">
    <vt:lpwstr>eyJoZGlkIjoiMDkxNzNmNGFmYWJhMmU5NjE0Njc0ZGJkYWZmNGIzOTUiLCJ1c2VySWQiOiIzNDkzODAwNTkifQ==</vt:lpwstr>
  </property>
  <property fmtid="{D5CDD505-2E9C-101B-9397-08002B2CF9AE}" pid="6" name="KSOProductBuildVer">
    <vt:lpwstr>2052-12.1.0.25865</vt:lpwstr>
  </property>
  <property fmtid="{D5CDD505-2E9C-101B-9397-08002B2CF9AE}" pid="7" name="ICV">
    <vt:lpwstr>717081ADEDBC45E5B787C979E50020C3_12</vt:lpwstr>
  </property>
</Properties>
</file>