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7BC26">
      <w:pPr>
        <w:spacing w:line="259" w:lineRule="auto"/>
        <w:rPr>
          <w:rFonts w:ascii="Arial"/>
          <w:sz w:val="21"/>
        </w:rPr>
      </w:pPr>
    </w:p>
    <w:p w14:paraId="62798A7B">
      <w:pPr>
        <w:spacing w:line="260" w:lineRule="auto"/>
        <w:rPr>
          <w:rFonts w:ascii="Arial"/>
          <w:sz w:val="21"/>
        </w:rPr>
      </w:pPr>
    </w:p>
    <w:p w14:paraId="76640615">
      <w:pPr>
        <w:spacing w:line="260" w:lineRule="auto"/>
        <w:rPr>
          <w:rFonts w:ascii="Arial"/>
          <w:sz w:val="21"/>
        </w:rPr>
      </w:pPr>
    </w:p>
    <w:p w14:paraId="26F7776D">
      <w:pPr>
        <w:spacing w:line="260" w:lineRule="auto"/>
        <w:rPr>
          <w:rFonts w:ascii="Arial"/>
          <w:sz w:val="21"/>
        </w:rPr>
      </w:pPr>
    </w:p>
    <w:p w14:paraId="017C64C8">
      <w:pPr>
        <w:spacing w:line="260" w:lineRule="auto"/>
        <w:rPr>
          <w:rFonts w:ascii="Arial"/>
          <w:sz w:val="21"/>
        </w:rPr>
      </w:pPr>
    </w:p>
    <w:p w14:paraId="6FBCB77C">
      <w:pPr>
        <w:spacing w:line="260" w:lineRule="auto"/>
        <w:rPr>
          <w:rFonts w:ascii="Arial"/>
          <w:sz w:val="21"/>
        </w:rPr>
      </w:pPr>
    </w:p>
    <w:p w14:paraId="2AE8252D">
      <w:pPr>
        <w:spacing w:line="260" w:lineRule="auto"/>
        <w:rPr>
          <w:rFonts w:ascii="Arial"/>
          <w:sz w:val="21"/>
        </w:rPr>
      </w:pPr>
    </w:p>
    <w:p w14:paraId="7B0AEC13">
      <w:pPr>
        <w:spacing w:line="260" w:lineRule="auto"/>
        <w:rPr>
          <w:rFonts w:ascii="Arial"/>
          <w:sz w:val="21"/>
        </w:rPr>
      </w:pPr>
    </w:p>
    <w:p w14:paraId="5AF0BF03">
      <w:pPr>
        <w:spacing w:line="260" w:lineRule="auto"/>
        <w:rPr>
          <w:rFonts w:ascii="Arial"/>
          <w:sz w:val="21"/>
        </w:rPr>
      </w:pPr>
    </w:p>
    <w:p w14:paraId="3BB34DDC">
      <w:pPr>
        <w:spacing w:line="260" w:lineRule="auto"/>
        <w:rPr>
          <w:rFonts w:ascii="Arial"/>
          <w:sz w:val="21"/>
        </w:rPr>
      </w:pPr>
    </w:p>
    <w:p w14:paraId="36333399">
      <w:pPr>
        <w:spacing w:before="228" w:line="219" w:lineRule="auto"/>
        <w:ind w:left="46"/>
        <w:outlineLvl w:val="0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color w:val="F01030"/>
          <w:spacing w:val="-44"/>
          <w:w w:val="68"/>
          <w:sz w:val="70"/>
          <w:szCs w:val="70"/>
        </w:rPr>
        <w:t>南京江北新区管委会政务服务管理办公室文件</w:t>
      </w:r>
    </w:p>
    <w:p w14:paraId="6FD5E22C">
      <w:pPr>
        <w:spacing w:line="272" w:lineRule="auto"/>
        <w:rPr>
          <w:rFonts w:ascii="Arial"/>
          <w:sz w:val="21"/>
        </w:rPr>
      </w:pPr>
    </w:p>
    <w:p w14:paraId="09DADD69">
      <w:pPr>
        <w:spacing w:line="272" w:lineRule="auto"/>
        <w:rPr>
          <w:rFonts w:ascii="Arial"/>
          <w:sz w:val="21"/>
        </w:rPr>
      </w:pPr>
    </w:p>
    <w:p w14:paraId="07D5BF75">
      <w:pPr>
        <w:spacing w:line="273" w:lineRule="auto"/>
        <w:rPr>
          <w:rFonts w:ascii="Arial"/>
          <w:sz w:val="21"/>
        </w:rPr>
      </w:pPr>
    </w:p>
    <w:p w14:paraId="72381925">
      <w:pPr>
        <w:pStyle w:val="2"/>
        <w:spacing w:before="104" w:line="222" w:lineRule="auto"/>
        <w:ind w:left="2170"/>
      </w:pPr>
      <w:r>
        <w:t>宁新区管政环表复〔2026〕44号</w:t>
      </w:r>
    </w:p>
    <w:p w14:paraId="18FAAD16">
      <w:pPr>
        <w:spacing w:line="292" w:lineRule="auto"/>
        <w:rPr>
          <w:rFonts w:ascii="Arial"/>
          <w:sz w:val="21"/>
        </w:rPr>
      </w:pPr>
    </w:p>
    <w:p w14:paraId="6AFC1223">
      <w:pPr>
        <w:spacing w:line="60" w:lineRule="exact"/>
      </w:pPr>
      <w:r>
        <w:rPr>
          <w:position w:val="-1"/>
        </w:rPr>
        <w:drawing>
          <wp:inline distT="0" distB="0" distL="0" distR="0">
            <wp:extent cx="560641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7021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1D492">
      <w:pPr>
        <w:spacing w:before="239" w:line="219" w:lineRule="auto"/>
        <w:ind w:left="47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"/>
          <w:sz w:val="46"/>
          <w:szCs w:val="46"/>
        </w:rPr>
        <w:t>关于鲤鱼(南京)环境科技有限公司镁基</w:t>
      </w:r>
    </w:p>
    <w:p w14:paraId="3C50743E">
      <w:pPr>
        <w:spacing w:before="4" w:line="219" w:lineRule="auto"/>
        <w:ind w:left="67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5"/>
          <w:sz w:val="46"/>
          <w:szCs w:val="46"/>
        </w:rPr>
        <w:t>新材料制造及生物基多糖材料研发项目</w:t>
      </w:r>
    </w:p>
    <w:p w14:paraId="27093673">
      <w:pPr>
        <w:spacing w:before="13" w:line="218" w:lineRule="auto"/>
        <w:ind w:left="222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5"/>
          <w:sz w:val="46"/>
          <w:szCs w:val="46"/>
        </w:rPr>
        <w:t>环境影响报告表的批复</w:t>
      </w:r>
    </w:p>
    <w:p w14:paraId="319BC0F1">
      <w:pPr>
        <w:spacing w:line="254" w:lineRule="auto"/>
        <w:rPr>
          <w:rFonts w:ascii="Arial"/>
          <w:sz w:val="21"/>
        </w:rPr>
      </w:pPr>
    </w:p>
    <w:p w14:paraId="034D372F">
      <w:pPr>
        <w:pStyle w:val="2"/>
        <w:spacing w:before="104" w:line="222" w:lineRule="auto"/>
        <w:ind w:left="40"/>
      </w:pPr>
      <w:r>
        <w:rPr>
          <w:spacing w:val="14"/>
        </w:rPr>
        <w:t>鲤鱼(南京)环境科技有限公司：</w:t>
      </w:r>
    </w:p>
    <w:p w14:paraId="3484EE69">
      <w:pPr>
        <w:pStyle w:val="2"/>
        <w:spacing w:before="119" w:line="301" w:lineRule="auto"/>
        <w:ind w:left="40" w:right="1432" w:firstLine="630"/>
        <w:jc w:val="both"/>
      </w:pPr>
      <w:r>
        <w:rPr>
          <w:spacing w:val="-6"/>
        </w:rPr>
        <w:t>你公司报送的《镁基新材料制造及生物基多糖材料研发项目环境影响报告表》(以下简称《报告表》)收悉</w:t>
      </w:r>
      <w:r>
        <w:rPr>
          <w:spacing w:val="-7"/>
        </w:rPr>
        <w:t>。经研究，批复如</w:t>
      </w:r>
      <w:r>
        <w:rPr>
          <w:spacing w:val="-14"/>
        </w:rPr>
        <w:t>下：</w:t>
      </w:r>
    </w:p>
    <w:p w14:paraId="2162CF70">
      <w:pPr>
        <w:pStyle w:val="2"/>
        <w:spacing w:line="285" w:lineRule="auto"/>
        <w:ind w:left="40" w:right="1455" w:firstLine="630"/>
      </w:pPr>
      <w:r>
        <w:rPr>
          <w:spacing w:val="10"/>
        </w:rPr>
        <w:t>一、项目(宁新区管审备〔2025〕1747号)选址于南</w:t>
      </w:r>
      <w:r>
        <w:rPr>
          <w:spacing w:val="9"/>
        </w:rPr>
        <w:t>京江北新区华盛路115号六号楼1、2楼。购置搅拌釜、转晶装置、</w:t>
      </w:r>
      <w:r>
        <w:rPr>
          <w:spacing w:val="-7"/>
        </w:rPr>
        <w:t>发酵罐等设备，搭建纳米氢氧化镁生产线和生物基多糖材料研发</w:t>
      </w:r>
      <w:r>
        <w:rPr>
          <w:spacing w:val="4"/>
        </w:rPr>
        <w:t>实验室。项目建成后，每年可生产纳米氢氧化镁1000吨。项目</w:t>
      </w:r>
      <w:r>
        <w:rPr>
          <w:spacing w:val="10"/>
        </w:rPr>
        <w:t>总投资10000万元，其中环保投资50万</w:t>
      </w:r>
      <w:r>
        <w:rPr>
          <w:spacing w:val="9"/>
        </w:rPr>
        <w:t>元。</w:t>
      </w:r>
    </w:p>
    <w:p w14:paraId="2A94BE8A">
      <w:pPr>
        <w:pStyle w:val="2"/>
        <w:spacing w:before="136" w:line="265" w:lineRule="auto"/>
        <w:ind w:left="40" w:right="1378" w:firstLine="630"/>
      </w:pPr>
      <w:r>
        <w:rPr>
          <w:spacing w:val="-7"/>
        </w:rPr>
        <w:t>二、根据环评报告结论，在落实《报告表》提出的各项污染</w:t>
      </w:r>
      <w:r>
        <w:rPr>
          <w:spacing w:val="-4"/>
        </w:rPr>
        <w:t>防治及环境风险防范措施，确保污染物稳定达标排放的前提下，</w:t>
      </w:r>
    </w:p>
    <w:p w14:paraId="3F208230">
      <w:pPr>
        <w:spacing w:line="265" w:lineRule="auto"/>
        <w:sectPr>
          <w:footerReference r:id="rId5" w:type="default"/>
          <w:pgSz w:w="11910" w:h="16840"/>
          <w:pgMar w:top="1431" w:right="20" w:bottom="1776" w:left="1619" w:header="0" w:footer="1462" w:gutter="0"/>
          <w:cols w:space="720" w:num="1"/>
        </w:sectPr>
      </w:pPr>
    </w:p>
    <w:p w14:paraId="71DDBE47">
      <w:pPr>
        <w:spacing w:line="335" w:lineRule="auto"/>
        <w:rPr>
          <w:rFonts w:ascii="Arial"/>
          <w:sz w:val="21"/>
        </w:rPr>
      </w:pPr>
    </w:p>
    <w:p w14:paraId="067E7964">
      <w:pPr>
        <w:spacing w:line="336" w:lineRule="auto"/>
        <w:rPr>
          <w:rFonts w:ascii="Arial"/>
          <w:sz w:val="21"/>
        </w:rPr>
      </w:pPr>
    </w:p>
    <w:p w14:paraId="5BA1B299">
      <w:pPr>
        <w:pStyle w:val="2"/>
        <w:spacing w:before="101" w:line="221" w:lineRule="auto"/>
        <w:rPr>
          <w:sz w:val="31"/>
          <w:szCs w:val="31"/>
        </w:rPr>
      </w:pPr>
      <w:r>
        <w:rPr>
          <w:spacing w:val="3"/>
          <w:sz w:val="31"/>
          <w:szCs w:val="31"/>
        </w:rPr>
        <w:t>从环保角度分析，该项目建设可行。</w:t>
      </w:r>
    </w:p>
    <w:p w14:paraId="1F16BA9C">
      <w:pPr>
        <w:pStyle w:val="2"/>
        <w:spacing w:before="144" w:line="295" w:lineRule="auto"/>
        <w:ind w:right="115" w:firstLine="660"/>
        <w:jc w:val="both"/>
      </w:pPr>
      <w:r>
        <w:rPr>
          <w:spacing w:val="-18"/>
        </w:rPr>
        <w:t>三、在项目工程设计、建设和环境管理中认真落</w:t>
      </w:r>
      <w:r>
        <w:rPr>
          <w:spacing w:val="-19"/>
        </w:rPr>
        <w:t>实《报告表》提出的各项环保要求，严格执行环保“三同时”制度，并重点做好</w:t>
      </w:r>
      <w:r>
        <w:rPr>
          <w:spacing w:val="-16"/>
        </w:rPr>
        <w:t>以下工作：</w:t>
      </w:r>
    </w:p>
    <w:p w14:paraId="5860F0EE">
      <w:pPr>
        <w:pStyle w:val="2"/>
        <w:spacing w:before="42" w:line="272" w:lineRule="auto"/>
        <w:ind w:right="172" w:firstLine="759"/>
      </w:pPr>
      <w:r>
        <w:rPr>
          <w:spacing w:val="-1"/>
        </w:rPr>
        <w:t>(一)排水系统实行雨污分流，并做好与园区雨污管网的衔</w:t>
      </w:r>
      <w:r>
        <w:rPr>
          <w:spacing w:val="-8"/>
        </w:rPr>
        <w:t>接。项目生产线和实验设备清洗废水经加速器六期污水处</w:t>
      </w:r>
      <w:r>
        <w:rPr>
          <w:spacing w:val="-9"/>
        </w:rPr>
        <w:t>理设施</w:t>
      </w:r>
      <w:r>
        <w:rPr>
          <w:spacing w:val="-4"/>
        </w:rPr>
        <w:t>处理达接管要求后，接管排入盘城污水处理厂集中处理。</w:t>
      </w:r>
    </w:p>
    <w:p w14:paraId="38C8DF3C">
      <w:pPr>
        <w:pStyle w:val="2"/>
        <w:spacing w:before="134" w:line="285" w:lineRule="auto"/>
        <w:ind w:right="161" w:firstLine="759"/>
      </w:pPr>
      <w:r>
        <w:t>(二)落实各项废气污染防治措施，纳米氢氧化镁主生产线</w:t>
      </w:r>
      <w:r>
        <w:rPr>
          <w:spacing w:val="-8"/>
        </w:rPr>
        <w:t>和小批量生产线产生的上料、包装、干燥和粉碎粉尘收</w:t>
      </w:r>
      <w:r>
        <w:rPr>
          <w:spacing w:val="-9"/>
        </w:rPr>
        <w:t>集经布袋</w:t>
      </w:r>
      <w:r>
        <w:rPr>
          <w:spacing w:val="1"/>
        </w:rPr>
        <w:t>除尘处理后，通过25米高排气筒(</w:t>
      </w:r>
      <w:r>
        <w:rPr>
          <w:rFonts w:ascii="Times New Roman" w:hAnsi="Times New Roman" w:eastAsia="Times New Roman" w:cs="Times New Roman"/>
        </w:rPr>
        <w:t>DA</w:t>
      </w:r>
      <w:r>
        <w:rPr>
          <w:rFonts w:ascii="Times New Roman" w:hAnsi="Times New Roman" w:eastAsia="Times New Roman" w:cs="Times New Roman"/>
          <w:spacing w:val="1"/>
        </w:rPr>
        <w:t>001)</w:t>
      </w:r>
      <w:r>
        <w:rPr>
          <w:spacing w:val="1"/>
        </w:rPr>
        <w:t>排放；生物基多糖</w:t>
      </w:r>
      <w:r>
        <w:rPr>
          <w:spacing w:val="-8"/>
        </w:rPr>
        <w:t>材料研发、分析检测产生的上料、发酵、试剂挥发、储存</w:t>
      </w:r>
      <w:r>
        <w:rPr>
          <w:spacing w:val="-9"/>
        </w:rPr>
        <w:t>和危废</w:t>
      </w:r>
      <w:r>
        <w:rPr>
          <w:spacing w:val="-1"/>
        </w:rPr>
        <w:t>贮存废气收集经“布袋除尘+碱性吸附球+活</w:t>
      </w:r>
      <w:r>
        <w:rPr>
          <w:spacing w:val="-2"/>
        </w:rPr>
        <w:t>性炭吸附”装置处</w:t>
      </w:r>
      <w:r>
        <w:rPr>
          <w:spacing w:val="7"/>
        </w:rPr>
        <w:t>理后，通过25米高排气筒(</w:t>
      </w:r>
      <w:r>
        <w:rPr>
          <w:rFonts w:ascii="Times New Roman" w:hAnsi="Times New Roman" w:eastAsia="Times New Roman" w:cs="Times New Roman"/>
        </w:rPr>
        <w:t>DA</w:t>
      </w:r>
      <w:r>
        <w:rPr>
          <w:rFonts w:ascii="Times New Roman" w:hAnsi="Times New Roman" w:eastAsia="Times New Roman" w:cs="Times New Roman"/>
          <w:spacing w:val="7"/>
        </w:rPr>
        <w:t>002)</w:t>
      </w:r>
      <w:r>
        <w:rPr>
          <w:spacing w:val="7"/>
        </w:rPr>
        <w:t>排放。落实《报告表》对</w:t>
      </w:r>
      <w:r>
        <w:rPr>
          <w:spacing w:val="-4"/>
        </w:rPr>
        <w:t>无组织废气的各项污染防治措施，减少废气无组织排放。</w:t>
      </w:r>
    </w:p>
    <w:p w14:paraId="6D594FCA">
      <w:pPr>
        <w:pStyle w:val="2"/>
        <w:tabs>
          <w:tab w:val="left" w:pos="120"/>
        </w:tabs>
        <w:spacing w:before="190" w:line="296" w:lineRule="auto"/>
        <w:ind w:firstLine="640"/>
        <w:rPr>
          <w:rFonts w:ascii="宋体" w:hAnsi="宋体" w:eastAsia="宋体" w:cs="宋体"/>
          <w:sz w:val="31"/>
          <w:szCs w:val="31"/>
        </w:rPr>
      </w:pPr>
      <w:r>
        <w:rPr>
          <w:spacing w:val="-3"/>
          <w:sz w:val="31"/>
          <w:szCs w:val="31"/>
        </w:rPr>
        <w:t>废气中颗粒物、氯化氢、非甲烷总烃、二氯甲烷</w:t>
      </w:r>
      <w:r>
        <w:rPr>
          <w:spacing w:val="-4"/>
          <w:sz w:val="31"/>
          <w:szCs w:val="31"/>
        </w:rPr>
        <w:t>、三氯甲烷、</w:t>
      </w:r>
      <w:r>
        <w:rPr>
          <w:sz w:val="31"/>
          <w:szCs w:val="31"/>
        </w:rPr>
        <w:t>甲醇排放执行《大气污染物综合排放标准》(</w:t>
      </w:r>
      <w:r>
        <w:rPr>
          <w:rFonts w:ascii="Times New Roman" w:hAnsi="Times New Roman" w:eastAsia="Times New Roman" w:cs="Times New Roman"/>
          <w:sz w:val="31"/>
          <w:szCs w:val="31"/>
        </w:rPr>
        <w:t>DB3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2/4041-2021),</w:t>
      </w:r>
      <w:r>
        <w:rPr>
          <w:spacing w:val="47"/>
          <w:sz w:val="31"/>
          <w:szCs w:val="31"/>
        </w:rPr>
        <w:t>氨、硫化氢和臭气浓度排放执行《恶臭污染物排放标准》</w:t>
      </w:r>
      <w:r>
        <w:rPr>
          <w:rFonts w:ascii="Times New Roman" w:hAnsi="Times New Roman" w:eastAsia="Times New Roman" w:cs="Times New Roman"/>
          <w:sz w:val="31"/>
          <w:szCs w:val="31"/>
        </w:rPr>
        <w:tab/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(GB14554-93)</w:t>
      </w:r>
      <w:r>
        <w:rPr>
          <w:rFonts w:ascii="宋体" w:hAnsi="宋体" w:eastAsia="宋体" w:cs="宋体"/>
          <w:spacing w:val="-2"/>
          <w:sz w:val="31"/>
          <w:szCs w:val="31"/>
        </w:rPr>
        <w:t>。</w:t>
      </w:r>
    </w:p>
    <w:p w14:paraId="09B59C69">
      <w:pPr>
        <w:pStyle w:val="2"/>
        <w:spacing w:before="71" w:line="267" w:lineRule="auto"/>
        <w:ind w:right="34" w:firstLine="759"/>
      </w:pPr>
      <w:r>
        <w:rPr>
          <w:spacing w:val="5"/>
        </w:rPr>
        <w:t>(三)合理布局风机、搅拌釜等噪声源，选用低噪声设备，</w:t>
      </w:r>
      <w:r>
        <w:rPr>
          <w:spacing w:val="-7"/>
        </w:rPr>
        <w:t>并采取有效的隔声减振等措施，确保厂界噪声满足《工业企业厂</w:t>
      </w:r>
      <w:r>
        <w:t>界环境噪声排放标准》(</w:t>
      </w:r>
      <w:r>
        <w:rPr>
          <w:rFonts w:ascii="Times New Roman" w:hAnsi="Times New Roman" w:eastAsia="Times New Roman" w:cs="Times New Roman"/>
        </w:rPr>
        <w:t>GB12348-2008)</w:t>
      </w:r>
      <w:r>
        <w:rPr>
          <w:spacing w:val="-1"/>
        </w:rPr>
        <w:t>中3类标准。</w:t>
      </w:r>
    </w:p>
    <w:p w14:paraId="44AE3EF0">
      <w:pPr>
        <w:pStyle w:val="2"/>
        <w:spacing w:before="204" w:line="273" w:lineRule="auto"/>
        <w:ind w:right="164" w:firstLine="759"/>
      </w:pPr>
      <w:r>
        <w:t>(四)按照固废“减量化、资源化、无害化”的原则</w:t>
      </w:r>
      <w:r>
        <w:rPr>
          <w:spacing w:val="-1"/>
        </w:rPr>
        <w:t>，落实</w:t>
      </w:r>
      <w:r>
        <w:rPr>
          <w:spacing w:val="-8"/>
        </w:rPr>
        <w:t>各类固废的收集、贮存和处置措施。实验废物、实验废液、废包</w:t>
      </w:r>
      <w:r>
        <w:rPr>
          <w:spacing w:val="-7"/>
        </w:rPr>
        <w:t>装、收集尘、废碱性吸附球、废导热油、废油桶和废</w:t>
      </w:r>
      <w:r>
        <w:rPr>
          <w:spacing w:val="-8"/>
        </w:rPr>
        <w:t>活性炭等危</w:t>
      </w:r>
    </w:p>
    <w:p w14:paraId="19F4D7CC">
      <w:pPr>
        <w:spacing w:line="273" w:lineRule="auto"/>
        <w:sectPr>
          <w:footerReference r:id="rId6" w:type="default"/>
          <w:pgSz w:w="11910" w:h="16840"/>
          <w:pgMar w:top="1431" w:right="1385" w:bottom="1738" w:left="1599" w:header="0" w:footer="1451" w:gutter="0"/>
          <w:cols w:space="720" w:num="1"/>
        </w:sectPr>
      </w:pPr>
    </w:p>
    <w:p w14:paraId="0FD18B43">
      <w:pPr>
        <w:spacing w:line="309" w:lineRule="auto"/>
        <w:rPr>
          <w:rFonts w:ascii="Arial"/>
          <w:sz w:val="21"/>
        </w:rPr>
      </w:pPr>
    </w:p>
    <w:p w14:paraId="766BC98D">
      <w:pPr>
        <w:spacing w:line="310" w:lineRule="auto"/>
        <w:rPr>
          <w:rFonts w:ascii="Arial"/>
          <w:sz w:val="21"/>
        </w:rPr>
      </w:pPr>
    </w:p>
    <w:p w14:paraId="22E14988">
      <w:pPr>
        <w:pStyle w:val="2"/>
        <w:spacing w:before="104" w:line="295" w:lineRule="auto"/>
        <w:ind w:right="935"/>
        <w:jc w:val="both"/>
      </w:pPr>
      <w:r>
        <w:rPr>
          <w:spacing w:val="-7"/>
        </w:rPr>
        <w:t>险废物，送有资质单位处理，转移处置时，按规定办理相关环保</w:t>
      </w:r>
      <w:r>
        <w:rPr>
          <w:spacing w:val="-8"/>
        </w:rPr>
        <w:t>手续。废滤料、滤渣和普通废耗材收集外售。危险废物贮存场所</w:t>
      </w:r>
      <w:r>
        <w:rPr>
          <w:spacing w:val="-2"/>
        </w:rPr>
        <w:t>符合《危险废物贮存污染控制标准》(</w:t>
      </w:r>
      <w:r>
        <w:rPr>
          <w:rFonts w:ascii="Times New Roman" w:hAnsi="Times New Roman" w:eastAsia="Times New Roman" w:cs="Times New Roman"/>
          <w:spacing w:val="-2"/>
        </w:rPr>
        <w:t>GB185</w:t>
      </w:r>
      <w:r>
        <w:rPr>
          <w:rFonts w:ascii="Times New Roman" w:hAnsi="Times New Roman" w:eastAsia="Times New Roman" w:cs="Times New Roman"/>
          <w:spacing w:val="-3"/>
        </w:rPr>
        <w:t>97-2023),</w:t>
      </w:r>
      <w:r>
        <w:rPr>
          <w:spacing w:val="-3"/>
        </w:rPr>
        <w:t>固体废</w:t>
      </w:r>
      <w:r>
        <w:rPr>
          <w:spacing w:val="-2"/>
        </w:rPr>
        <w:t>物管理满足《江苏省固体废物全过程环境监管工作意见》(苏环</w:t>
      </w:r>
      <w:r>
        <w:rPr>
          <w:spacing w:val="9"/>
        </w:rPr>
        <w:t>办〔2024〕16号)要求，禁止非法排放、倾</w:t>
      </w:r>
      <w:r>
        <w:rPr>
          <w:spacing w:val="8"/>
        </w:rPr>
        <w:t>倒、处置任何危险</w:t>
      </w:r>
      <w:r>
        <w:rPr>
          <w:spacing w:val="-7"/>
        </w:rPr>
        <w:t>废物。</w:t>
      </w:r>
    </w:p>
    <w:p w14:paraId="2C2BFEAD">
      <w:pPr>
        <w:pStyle w:val="2"/>
        <w:spacing w:before="2" w:line="301" w:lineRule="auto"/>
        <w:ind w:right="740" w:firstLine="769"/>
        <w:jc w:val="both"/>
      </w:pPr>
      <w:r>
        <w:rPr>
          <w:spacing w:val="-5"/>
        </w:rPr>
        <w:t>(五)严格按照《江苏省排污口设置及规范化整治管理办法》</w:t>
      </w:r>
      <w:r>
        <w:t>(苏环控〔1997〕122号)要求，规范化设置各类排污口和标</w:t>
      </w:r>
      <w:r>
        <w:rPr>
          <w:spacing w:val="-1"/>
        </w:rPr>
        <w:t>志，</w:t>
      </w:r>
      <w:r>
        <w:rPr>
          <w:spacing w:val="-5"/>
        </w:rPr>
        <w:t>落实《报告表》提出的环境管理及监测计划。</w:t>
      </w:r>
    </w:p>
    <w:p w14:paraId="50DA2894">
      <w:pPr>
        <w:pStyle w:val="2"/>
        <w:spacing w:before="56" w:line="278" w:lineRule="auto"/>
        <w:ind w:right="895" w:firstLine="670"/>
      </w:pPr>
      <w:r>
        <w:rPr>
          <w:spacing w:val="-10"/>
        </w:rPr>
        <w:t>四、加强环境风险管理，落实《报告表》提</w:t>
      </w:r>
      <w:r>
        <w:rPr>
          <w:spacing w:val="-11"/>
        </w:rPr>
        <w:t>出的风险防范和</w:t>
      </w:r>
      <w:r>
        <w:rPr>
          <w:spacing w:val="4"/>
        </w:rPr>
        <w:t>应急措施，编制应急预案并报南京江北新区生态环境和水务局</w:t>
      </w:r>
      <w:r>
        <w:rPr>
          <w:spacing w:val="5"/>
        </w:rPr>
        <w:t>(市生态环境局江北新区分局)备案，定期进行演练。按规定开</w:t>
      </w:r>
      <w:r>
        <w:rPr>
          <w:spacing w:val="-5"/>
        </w:rPr>
        <w:t>展安全风险辨识，并及时报应急管理部门。</w:t>
      </w:r>
    </w:p>
    <w:p w14:paraId="0A780EC9">
      <w:pPr>
        <w:pStyle w:val="2"/>
        <w:spacing w:before="153" w:line="271" w:lineRule="auto"/>
        <w:ind w:right="910" w:firstLine="670"/>
      </w:pPr>
      <w:r>
        <w:rPr>
          <w:spacing w:val="-8"/>
        </w:rPr>
        <w:t>五、企业已取得江苏省南京高新技术产业开发区、江苏省江</w:t>
      </w:r>
      <w:r>
        <w:rPr>
          <w:spacing w:val="28"/>
        </w:rPr>
        <w:t>北新区排污总量指标使用凭证(编号：32011920260851、</w:t>
      </w:r>
      <w:r>
        <w:rPr>
          <w:spacing w:val="-3"/>
        </w:rPr>
        <w:t>32011920260852)。本项目主要污染物年排放量核定为：</w:t>
      </w:r>
    </w:p>
    <w:p w14:paraId="023A37BC">
      <w:pPr>
        <w:pStyle w:val="2"/>
        <w:spacing w:before="151" w:line="308" w:lineRule="auto"/>
        <w:ind w:right="893" w:firstLine="670"/>
        <w:rPr>
          <w:sz w:val="30"/>
          <w:szCs w:val="30"/>
        </w:rPr>
      </w:pPr>
      <w:r>
        <w:rPr>
          <w:spacing w:val="-5"/>
        </w:rPr>
        <w:t>废水接管量/外排量：废水量≤2896吨；</w:t>
      </w:r>
      <w:r>
        <w:rPr>
          <w:rFonts w:ascii="Times New Roman" w:hAnsi="Times New Roman" w:eastAsia="Times New Roman" w:cs="Times New Roman"/>
          <w:spacing w:val="-5"/>
        </w:rPr>
        <w:t>COD≤0.412/0</w:t>
      </w:r>
      <w:r>
        <w:rPr>
          <w:rFonts w:ascii="Times New Roman" w:hAnsi="Times New Roman" w:eastAsia="Times New Roman" w:cs="Times New Roman"/>
          <w:spacing w:val="-6"/>
        </w:rPr>
        <w:t>.145</w:t>
      </w:r>
      <w:r>
        <w:rPr>
          <w:spacing w:val="2"/>
        </w:rPr>
        <w:t>吨，</w:t>
      </w:r>
      <w:r>
        <w:rPr>
          <w:rFonts w:ascii="Times New Roman" w:hAnsi="Times New Roman" w:eastAsia="Times New Roman" w:cs="Times New Roman"/>
        </w:rPr>
        <w:t>SS</w:t>
      </w:r>
      <w:r>
        <w:rPr>
          <w:rFonts w:ascii="Times New Roman" w:hAnsi="Times New Roman" w:eastAsia="Times New Roman" w:cs="Times New Roman"/>
          <w:spacing w:val="2"/>
        </w:rPr>
        <w:t>≤0.597/0.029</w:t>
      </w:r>
      <w:r>
        <w:rPr>
          <w:spacing w:val="2"/>
        </w:rPr>
        <w:t>吨，氨氮≤0.0172/0.0116吨，总磷≤</w:t>
      </w:r>
      <w:r>
        <w:rPr>
          <w:spacing w:val="1"/>
          <w:sz w:val="30"/>
          <w:szCs w:val="30"/>
        </w:rPr>
        <w:t>0.0017/0.0014吨，总氮≤0.0231/0.03</w:t>
      </w:r>
      <w:r>
        <w:rPr>
          <w:sz w:val="30"/>
          <w:szCs w:val="30"/>
        </w:rPr>
        <w:t>48吨。</w:t>
      </w:r>
    </w:p>
    <w:p w14:paraId="4A1DED5F">
      <w:pPr>
        <w:pStyle w:val="2"/>
        <w:spacing w:before="4" w:line="297" w:lineRule="auto"/>
        <w:ind w:right="893" w:firstLine="670"/>
        <w:jc w:val="both"/>
      </w:pPr>
      <w:r>
        <w:rPr>
          <w:spacing w:val="11"/>
        </w:rPr>
        <w:t>废气排放量(有组织):</w:t>
      </w:r>
      <w:r>
        <w:rPr>
          <w:rFonts w:ascii="Times New Roman" w:hAnsi="Times New Roman" w:eastAsia="Times New Roman" w:cs="Times New Roman"/>
        </w:rPr>
        <w:t>VOCs</w:t>
      </w:r>
      <w:r>
        <w:rPr>
          <w:rFonts w:ascii="Times New Roman" w:hAnsi="Times New Roman" w:eastAsia="Times New Roman" w:cs="Times New Roman"/>
          <w:spacing w:val="11"/>
        </w:rPr>
        <w:t>≤0.0619</w:t>
      </w:r>
      <w:r>
        <w:rPr>
          <w:spacing w:val="11"/>
        </w:rPr>
        <w:t>吨(其</w:t>
      </w:r>
      <w:r>
        <w:rPr>
          <w:spacing w:val="10"/>
        </w:rPr>
        <w:t>中二氯甲烷≤</w:t>
      </w:r>
      <w:r>
        <w:rPr>
          <w:spacing w:val="-8"/>
        </w:rPr>
        <w:t>0.006吨、三氯甲烷≤0.01吨、甲醇≤0.0006吨),颗粒物≤0.2221</w:t>
      </w:r>
      <w:r>
        <w:rPr>
          <w:spacing w:val="-9"/>
        </w:rPr>
        <w:t>吨，氯化氢≤0.0001吨，氨≤0.00061吨，硫化氢≤</w:t>
      </w:r>
      <w:r>
        <w:rPr>
          <w:spacing w:val="-10"/>
        </w:rPr>
        <w:t>0.000013吨。</w:t>
      </w:r>
    </w:p>
    <w:p w14:paraId="59089A39">
      <w:pPr>
        <w:pStyle w:val="2"/>
        <w:spacing w:before="8" w:line="297" w:lineRule="auto"/>
        <w:ind w:right="907" w:firstLine="670"/>
      </w:pPr>
      <w:r>
        <w:rPr>
          <w:spacing w:val="-8"/>
        </w:rPr>
        <w:t>六、认真组织实施《报告表》及本批复中提出的环境保护对</w:t>
      </w:r>
      <w:r>
        <w:rPr>
          <w:spacing w:val="-7"/>
        </w:rPr>
        <w:t>策措施。项目配套的污染防治设施必须与主体工程同时设计、同</w:t>
      </w:r>
    </w:p>
    <w:p w14:paraId="611AF2AE">
      <w:pPr>
        <w:spacing w:line="297" w:lineRule="auto"/>
        <w:sectPr>
          <w:footerReference r:id="rId7" w:type="default"/>
          <w:pgSz w:w="11910" w:h="16840"/>
          <w:pgMar w:top="1431" w:right="580" w:bottom="1764" w:left="1630" w:header="0" w:footer="1440" w:gutter="0"/>
          <w:cols w:space="720" w:num="1"/>
        </w:sectPr>
      </w:pPr>
    </w:p>
    <w:p w14:paraId="23864089">
      <w:pPr>
        <w:spacing w:line="336" w:lineRule="auto"/>
        <w:rPr>
          <w:rFonts w:ascii="Arial"/>
          <w:sz w:val="21"/>
        </w:rPr>
      </w:pPr>
    </w:p>
    <w:p w14:paraId="3E7670C3">
      <w:pPr>
        <w:spacing w:line="336" w:lineRule="auto"/>
        <w:rPr>
          <w:rFonts w:ascii="Arial"/>
          <w:sz w:val="21"/>
        </w:rPr>
      </w:pPr>
    </w:p>
    <w:p w14:paraId="06D00C68">
      <w:pPr>
        <w:pStyle w:val="2"/>
        <w:spacing w:before="104" w:line="299" w:lineRule="auto"/>
        <w:ind w:left="20" w:right="140"/>
        <w:jc w:val="both"/>
      </w:pPr>
      <w:r>
        <w:rPr>
          <w:spacing w:val="-9"/>
        </w:rPr>
        <w:t>时施工、同时投入使用。项目竣工后，按照规定对配套建设的环</w:t>
      </w:r>
      <w:r>
        <w:rPr>
          <w:spacing w:val="-8"/>
        </w:rPr>
        <w:t>境保护设施进行验收。项目运营期的日常环境监管由南京江北新</w:t>
      </w:r>
      <w:r>
        <w:rPr>
          <w:spacing w:val="6"/>
        </w:rPr>
        <w:t>区生态环境和水务局(市生态环境局江北新区分局)负责。</w:t>
      </w:r>
    </w:p>
    <w:p w14:paraId="4A95FA2F">
      <w:pPr>
        <w:pStyle w:val="2"/>
        <w:spacing w:before="3" w:line="281" w:lineRule="auto"/>
        <w:ind w:left="20" w:right="115" w:firstLine="650"/>
      </w:pPr>
      <w:r>
        <w:rPr>
          <w:spacing w:val="-8"/>
        </w:rPr>
        <w:t>七、项目环境影响报告表经批准后，项目的性质、规模、地</w:t>
      </w:r>
      <w:r>
        <w:rPr>
          <w:spacing w:val="-9"/>
        </w:rPr>
        <w:t>点、采用的生产工艺或者防治污染、防止生态破坏的措施发生重</w:t>
      </w:r>
      <w:r>
        <w:rPr>
          <w:spacing w:val="-8"/>
        </w:rPr>
        <w:t>大变动的，应当重新报批环境影响评价文件。本项目环境影响报</w:t>
      </w:r>
      <w:r>
        <w:rPr>
          <w:spacing w:val="-2"/>
        </w:rPr>
        <w:t>告表自批准之日起满5年，项目方开工建设的，其环境影响评价</w:t>
      </w:r>
      <w:r>
        <w:rPr>
          <w:spacing w:val="-7"/>
        </w:rPr>
        <w:t>文件应当重新报审。</w:t>
      </w:r>
    </w:p>
    <w:p w14:paraId="78E1F05C">
      <w:pPr>
        <w:pStyle w:val="2"/>
        <w:spacing w:before="182" w:line="251" w:lineRule="auto"/>
        <w:ind w:left="20" w:firstLine="630"/>
      </w:pPr>
      <w:r>
        <w:rPr>
          <w:spacing w:val="-6"/>
        </w:rPr>
        <w:t>八、国家或地方对该项目污染物排放有新标准、新要求的，</w:t>
      </w:r>
      <w:r>
        <w:rPr>
          <w:spacing w:val="-11"/>
        </w:rPr>
        <w:t>从其规定。</w:t>
      </w:r>
    </w:p>
    <w:p w14:paraId="405FF220">
      <w:pPr>
        <w:spacing w:line="244" w:lineRule="auto"/>
        <w:rPr>
          <w:rFonts w:ascii="Arial"/>
          <w:sz w:val="21"/>
        </w:rPr>
      </w:pPr>
    </w:p>
    <w:p w14:paraId="11AD6CB5">
      <w:pPr>
        <w:spacing w:line="244" w:lineRule="auto"/>
        <w:rPr>
          <w:rFonts w:ascii="Arial"/>
          <w:sz w:val="21"/>
        </w:rPr>
      </w:pPr>
    </w:p>
    <w:p w14:paraId="3E9AFA17">
      <w:pPr>
        <w:spacing w:line="244" w:lineRule="auto"/>
        <w:rPr>
          <w:rFonts w:ascii="Arial"/>
          <w:sz w:val="21"/>
        </w:rPr>
      </w:pPr>
    </w:p>
    <w:p w14:paraId="14E8610A">
      <w:pPr>
        <w:spacing w:line="244" w:lineRule="auto"/>
        <w:rPr>
          <w:rFonts w:ascii="Arial"/>
          <w:sz w:val="21"/>
        </w:rPr>
      </w:pPr>
    </w:p>
    <w:p w14:paraId="76B77822">
      <w:pPr>
        <w:spacing w:line="244" w:lineRule="auto"/>
        <w:rPr>
          <w:rFonts w:ascii="Arial"/>
          <w:sz w:val="21"/>
        </w:rPr>
      </w:pPr>
    </w:p>
    <w:p w14:paraId="6A9738D1">
      <w:pPr>
        <w:spacing w:line="244" w:lineRule="auto"/>
        <w:rPr>
          <w:rFonts w:ascii="Arial"/>
          <w:sz w:val="21"/>
        </w:rPr>
      </w:pPr>
    </w:p>
    <w:p w14:paraId="1E45CF3C">
      <w:pPr>
        <w:spacing w:line="244" w:lineRule="auto"/>
        <w:rPr>
          <w:rFonts w:ascii="Arial"/>
          <w:sz w:val="21"/>
        </w:rPr>
      </w:pPr>
    </w:p>
    <w:p w14:paraId="051720E9">
      <w:pPr>
        <w:pStyle w:val="2"/>
        <w:spacing w:before="104" w:line="222" w:lineRule="auto"/>
        <w:ind w:left="2470"/>
      </w:pPr>
      <w:r>
        <w:rPr>
          <w:spacing w:val="-5"/>
        </w:rPr>
        <w:t>南京江北新区管理委员会政务服务管理办公室</w:t>
      </w:r>
    </w:p>
    <w:p w14:paraId="43479866">
      <w:pPr>
        <w:pStyle w:val="2"/>
        <w:spacing w:before="105" w:line="222" w:lineRule="auto"/>
        <w:ind w:left="5050"/>
      </w:pPr>
      <w:r>
        <w:rPr>
          <w:spacing w:val="43"/>
        </w:rPr>
        <w:t>2026年4月29日</w:t>
      </w:r>
    </w:p>
    <w:p w14:paraId="3B31167E">
      <w:pPr>
        <w:spacing w:line="246" w:lineRule="auto"/>
        <w:rPr>
          <w:rFonts w:ascii="Arial"/>
          <w:sz w:val="21"/>
        </w:rPr>
      </w:pPr>
    </w:p>
    <w:p w14:paraId="2D1BC83A">
      <w:pPr>
        <w:spacing w:line="246" w:lineRule="auto"/>
        <w:rPr>
          <w:rFonts w:ascii="Arial"/>
          <w:sz w:val="21"/>
        </w:rPr>
      </w:pPr>
    </w:p>
    <w:p w14:paraId="5EED1963">
      <w:pPr>
        <w:spacing w:line="246" w:lineRule="auto"/>
        <w:rPr>
          <w:rFonts w:ascii="Arial"/>
          <w:sz w:val="21"/>
        </w:rPr>
      </w:pPr>
    </w:p>
    <w:p w14:paraId="5BC20C56">
      <w:pPr>
        <w:spacing w:line="246" w:lineRule="auto"/>
        <w:rPr>
          <w:rFonts w:ascii="Arial"/>
          <w:sz w:val="21"/>
        </w:rPr>
      </w:pPr>
    </w:p>
    <w:p w14:paraId="136D43F8">
      <w:pPr>
        <w:spacing w:line="246" w:lineRule="auto"/>
        <w:rPr>
          <w:rFonts w:ascii="Arial"/>
          <w:sz w:val="21"/>
        </w:rPr>
      </w:pPr>
    </w:p>
    <w:p w14:paraId="6F752A1A">
      <w:pPr>
        <w:spacing w:line="246" w:lineRule="auto"/>
        <w:rPr>
          <w:rFonts w:ascii="Arial"/>
          <w:sz w:val="21"/>
        </w:rPr>
      </w:pPr>
    </w:p>
    <w:p w14:paraId="47BCB8E8">
      <w:pPr>
        <w:spacing w:line="246" w:lineRule="auto"/>
        <w:rPr>
          <w:rFonts w:ascii="Arial"/>
          <w:sz w:val="21"/>
        </w:rPr>
      </w:pPr>
    </w:p>
    <w:p w14:paraId="037220BF">
      <w:pPr>
        <w:spacing w:line="246" w:lineRule="auto"/>
        <w:rPr>
          <w:rFonts w:ascii="Arial"/>
          <w:sz w:val="21"/>
        </w:rPr>
      </w:pPr>
    </w:p>
    <w:p w14:paraId="41E89EAA">
      <w:pPr>
        <w:spacing w:line="246" w:lineRule="auto"/>
        <w:rPr>
          <w:rFonts w:ascii="Arial"/>
          <w:sz w:val="21"/>
        </w:rPr>
      </w:pPr>
    </w:p>
    <w:p w14:paraId="5E79124C">
      <w:pPr>
        <w:spacing w:line="246" w:lineRule="auto"/>
        <w:rPr>
          <w:rFonts w:ascii="Arial"/>
          <w:sz w:val="21"/>
        </w:rPr>
      </w:pPr>
    </w:p>
    <w:p w14:paraId="43F99065">
      <w:pPr>
        <w:spacing w:line="24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62865</wp:posOffset>
            </wp:positionV>
            <wp:extent cx="5600700" cy="127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0744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BEE84F">
      <w:pPr>
        <w:pStyle w:val="2"/>
        <w:spacing w:before="91" w:line="222" w:lineRule="auto"/>
        <w:ind w:left="219"/>
        <w:rPr>
          <w:sz w:val="28"/>
          <w:szCs w:val="28"/>
        </w:rPr>
      </w:pPr>
      <w:r>
        <w:rPr>
          <w:spacing w:val="-6"/>
          <w:sz w:val="28"/>
          <w:szCs w:val="28"/>
        </w:rPr>
        <w:t>抄送：南京江北新区生态环境和水务局(市生态环境局江北新区分</w:t>
      </w:r>
      <w:r>
        <w:rPr>
          <w:spacing w:val="-7"/>
          <w:sz w:val="28"/>
          <w:szCs w:val="28"/>
        </w:rPr>
        <w:t>局)、</w:t>
      </w:r>
    </w:p>
    <w:p w14:paraId="01763DAF">
      <w:pPr>
        <w:pStyle w:val="2"/>
        <w:spacing w:before="211" w:line="365" w:lineRule="auto"/>
        <w:ind w:left="875" w:right="298" w:firstLine="194"/>
        <w:rPr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652780</wp:posOffset>
            </wp:positionV>
            <wp:extent cx="5575300" cy="88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5332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8"/>
          <w:szCs w:val="28"/>
        </w:rPr>
        <w:t>应急管理局，生命健康产业发展管理办公室，</w:t>
      </w:r>
      <w:bookmarkStart w:id="0" w:name="_GoBack"/>
      <w:r>
        <w:rPr>
          <w:spacing w:val="-1"/>
          <w:sz w:val="28"/>
          <w:szCs w:val="28"/>
        </w:rPr>
        <w:t>南京亘屹环保科</w:t>
      </w:r>
      <w:r>
        <w:rPr>
          <w:spacing w:val="-20"/>
          <w:sz w:val="28"/>
          <w:szCs w:val="28"/>
        </w:rPr>
        <w:t>技有限公司</w:t>
      </w:r>
      <w:bookmarkEnd w:id="0"/>
      <w:r>
        <w:rPr>
          <w:spacing w:val="-20"/>
          <w:sz w:val="28"/>
          <w:szCs w:val="28"/>
        </w:rPr>
        <w:t>。</w:t>
      </w:r>
    </w:p>
    <w:p w14:paraId="322D0F71">
      <w:pPr>
        <w:pStyle w:val="2"/>
        <w:spacing w:before="32" w:line="222" w:lineRule="auto"/>
        <w:ind w:left="249"/>
        <w:rPr>
          <w:sz w:val="28"/>
          <w:szCs w:val="28"/>
        </w:rPr>
      </w:pPr>
      <w:r>
        <w:rPr>
          <w:spacing w:val="12"/>
          <w:sz w:val="28"/>
          <w:szCs w:val="28"/>
          <w:u w:val="single" w:color="auto"/>
        </w:rPr>
        <w:t>南京江北新区管委会政务服务管理办公室2026年4月29日印发</w:t>
      </w:r>
    </w:p>
    <w:sectPr>
      <w:footerReference r:id="rId8" w:type="default"/>
      <w:pgSz w:w="11910" w:h="16840"/>
      <w:pgMar w:top="1431" w:right="1450" w:bottom="1744" w:left="1549" w:header="0" w:footer="14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E1836">
    <w:pPr>
      <w:spacing w:line="233" w:lineRule="auto"/>
      <w:ind w:left="766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AB84B">
    <w:pPr>
      <w:spacing w:line="232" w:lineRule="auto"/>
      <w:ind w:left="179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—2—</w:t>
    </w:r>
    <w:r>
      <w:rPr>
        <w:rFonts w:ascii="宋体" w:hAnsi="宋体" w:eastAsia="宋体" w:cs="宋体"/>
        <w:spacing w:val="38"/>
        <w:sz w:val="22"/>
        <w:szCs w:val="22"/>
      </w:rPr>
      <w:t xml:space="preserve"> </w:t>
    </w:r>
    <w:r>
      <w:rPr>
        <w:rFonts w:ascii="宋体" w:hAnsi="宋体" w:eastAsia="宋体" w:cs="宋体"/>
        <w:strike/>
        <w:sz w:val="22"/>
        <w:szCs w:val="22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2BB44">
    <w:pPr>
      <w:spacing w:line="232" w:lineRule="auto"/>
      <w:ind w:left="763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7746C">
    <w:pPr>
      <w:spacing w:line="233" w:lineRule="auto"/>
      <w:ind w:left="219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3EA6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1770</Words>
  <Characters>2011</Characters>
  <TotalTime>3</TotalTime>
  <ScaleCrop>false</ScaleCrop>
  <LinksUpToDate>false</LinksUpToDate>
  <CharactersWithSpaces>2112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2026-05-06T14:38:00Z</dcterms:created>
  <dc:creator>Administrator</dc:creator>
  <cp:lastModifiedBy>杨予昕</cp:lastModifiedBy>
  <dcterms:modified xsi:type="dcterms:W3CDTF">2026-05-07T06:55:06Z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2026-05-06T14:38:38Z</vt:filetime>
  </property>
  <property fmtid="{D5CDD505-2E9C-101B-9397-08002B2CF9AE}" pid="4" name="UsrData">
    <vt:lpwstr>69fae1eb7fe946001f8430a7wl</vt:lpwstr>
  </property>
  <property fmtid="{D5CDD505-2E9C-101B-9397-08002B2CF9AE}" pid="5" name="KSOTemplateDocerSaveRecord">
    <vt:lpwstr>eyJoZGlkIjoiMDkxNzNmNGFmYWJhMmU5NjE0Njc0ZGJkYWZmNGIzOTUiLCJ1c2VySWQiOiIzNDkzODAwNTkifQ==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E3FBFB12BB9846E29787630B397B3876_12</vt:lpwstr>
  </property>
</Properties>
</file>