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660" w:lineRule="exact"/>
        <w:ind w:firstLine="0" w:firstLineChars="0"/>
        <w:jc w:val="center"/>
        <w:textAlignment w:val="auto"/>
        <w:rPr>
          <w:rFonts w:hint="default" w:ascii="Times New Roman" w:hAnsi="Times New Roman" w:eastAsia="方正小标宋_GBK" w:cs="Times New Roman"/>
          <w:snapToGrid/>
          <w:kern w:val="2"/>
          <w:szCs w:val="24"/>
          <w:lang w:val="en-US" w:eastAsia="zh-CN"/>
        </w:rPr>
      </w:pPr>
      <w:r>
        <w:rPr>
          <w:rFonts w:hint="eastAsia" w:ascii="Times New Roman" w:hAnsi="Times New Roman" w:eastAsia="方正小标宋_GBK" w:cs="Times New Roman"/>
          <w:snapToGrid/>
          <w:kern w:val="2"/>
          <w:sz w:val="44"/>
          <w:szCs w:val="24"/>
          <w:lang w:eastAsia="zh-CN"/>
        </w:rPr>
        <w:t>关于《南京江北新区促进文体旅产业高质量发展若干政策措施》的</w:t>
      </w:r>
      <w:r>
        <w:rPr>
          <w:rFonts w:hint="eastAsia" w:eastAsia="方正小标宋_GBK" w:cs="Times New Roman"/>
          <w:snapToGrid/>
          <w:kern w:val="2"/>
          <w:sz w:val="44"/>
          <w:szCs w:val="24"/>
          <w:lang w:val="en-US" w:eastAsia="zh-CN"/>
        </w:rPr>
        <w:t>编制</w:t>
      </w:r>
      <w:r>
        <w:rPr>
          <w:rFonts w:hint="eastAsia" w:ascii="Times New Roman" w:hAnsi="Times New Roman" w:eastAsia="方正小标宋_GBK" w:cs="Times New Roman"/>
          <w:snapToGrid/>
          <w:kern w:val="2"/>
          <w:sz w:val="44"/>
          <w:szCs w:val="24"/>
          <w:lang w:val="en-US" w:eastAsia="zh-CN"/>
        </w:rPr>
        <w:t>说明</w:t>
      </w:r>
    </w:p>
    <w:p>
      <w:pPr>
        <w:keepNext w:val="0"/>
        <w:keepLines w:val="0"/>
        <w:pageBreakBefore w:val="0"/>
        <w:widowControl w:val="0"/>
        <w:kinsoku/>
        <w:wordWrap/>
        <w:overflowPunct/>
        <w:topLinePunct/>
        <w:autoSpaceDE/>
        <w:autoSpaceDN/>
        <w:bidi w:val="0"/>
        <w:adjustRightInd/>
        <w:snapToGrid/>
        <w:ind w:left="0" w:leftChars="0" w:right="0" w:rightChars="0" w:firstLine="0" w:firstLineChars="0"/>
        <w:jc w:val="center"/>
        <w:textAlignment w:val="auto"/>
        <w:rPr>
          <w:rFonts w:hint="eastAsia" w:ascii="Times New Roman" w:hAnsi="Times New Roman" w:eastAsia="方正楷体_GBK" w:cs="Times New Roman"/>
          <w:snapToGrid/>
          <w:kern w:val="2"/>
          <w:szCs w:val="24"/>
          <w:lang w:val="en-US" w:eastAsia="zh-CN"/>
        </w:rPr>
      </w:pPr>
      <w:r>
        <w:rPr>
          <w:rFonts w:hint="eastAsia" w:ascii="Times New Roman" w:hAnsi="Times New Roman" w:eastAsia="方正楷体_GBK" w:cs="Times New Roman"/>
          <w:snapToGrid/>
          <w:kern w:val="2"/>
          <w:szCs w:val="24"/>
          <w:lang w:val="en-US" w:eastAsia="zh-CN"/>
        </w:rPr>
        <w:t>宣传和统战部</w:t>
      </w:r>
    </w:p>
    <w:p>
      <w:pPr>
        <w:keepNext w:val="0"/>
        <w:keepLines w:val="0"/>
        <w:pageBreakBefore w:val="0"/>
        <w:widowControl w:val="0"/>
        <w:kinsoku/>
        <w:wordWrap/>
        <w:overflowPunct/>
        <w:topLinePunct/>
        <w:autoSpaceDE/>
        <w:autoSpaceDN/>
        <w:bidi w:val="0"/>
        <w:adjustRightInd/>
        <w:snapToGrid/>
        <w:ind w:left="0" w:leftChars="0" w:right="0" w:rightChars="0" w:firstLine="0" w:firstLineChars="0"/>
        <w:jc w:val="center"/>
        <w:textAlignment w:val="auto"/>
        <w:rPr>
          <w:rFonts w:hint="eastAsia" w:ascii="Times New Roman" w:hAnsi="Times New Roman" w:eastAsia="方正楷体_GBK" w:cs="Times New Roman"/>
          <w:snapToGrid/>
          <w:kern w:val="2"/>
          <w:szCs w:val="24"/>
          <w:lang w:val="en-US" w:eastAsia="zh-CN"/>
        </w:rPr>
      </w:pPr>
      <w:r>
        <w:rPr>
          <w:rFonts w:hint="eastAsia" w:ascii="Times New Roman" w:hAnsi="Times New Roman" w:eastAsia="方正楷体_GBK" w:cs="Times New Roman"/>
          <w:snapToGrid/>
          <w:kern w:val="2"/>
          <w:szCs w:val="24"/>
          <w:lang w:val="en-US" w:eastAsia="zh-CN"/>
        </w:rPr>
        <w:t>（202</w:t>
      </w:r>
      <w:r>
        <w:rPr>
          <w:rFonts w:hint="eastAsia" w:eastAsia="方正楷体_GBK" w:cs="Times New Roman"/>
          <w:snapToGrid/>
          <w:kern w:val="2"/>
          <w:szCs w:val="24"/>
          <w:lang w:val="en-US" w:eastAsia="zh-CN"/>
        </w:rPr>
        <w:t>6</w:t>
      </w:r>
      <w:r>
        <w:rPr>
          <w:rFonts w:hint="eastAsia" w:ascii="Times New Roman" w:hAnsi="Times New Roman" w:eastAsia="方正楷体_GBK" w:cs="Times New Roman"/>
          <w:snapToGrid/>
          <w:kern w:val="2"/>
          <w:szCs w:val="24"/>
          <w:lang w:val="en-US" w:eastAsia="zh-CN"/>
        </w:rPr>
        <w:t>年</w:t>
      </w:r>
      <w:r>
        <w:rPr>
          <w:rFonts w:hint="eastAsia" w:eastAsia="方正楷体_GBK" w:cs="Times New Roman"/>
          <w:snapToGrid/>
          <w:kern w:val="2"/>
          <w:szCs w:val="24"/>
          <w:lang w:val="en-US" w:eastAsia="zh-CN"/>
        </w:rPr>
        <w:t>5</w:t>
      </w:r>
      <w:r>
        <w:rPr>
          <w:rFonts w:hint="eastAsia" w:ascii="Times New Roman" w:hAnsi="Times New Roman" w:eastAsia="方正楷体_GBK" w:cs="Times New Roman"/>
          <w:snapToGrid/>
          <w:kern w:val="2"/>
          <w:szCs w:val="24"/>
          <w:lang w:val="en-US" w:eastAsia="zh-CN"/>
        </w:rPr>
        <w:t>月</w:t>
      </w:r>
      <w:r>
        <w:rPr>
          <w:rFonts w:hint="eastAsia" w:eastAsia="方正楷体_GBK" w:cs="Times New Roman"/>
          <w:snapToGrid/>
          <w:kern w:val="2"/>
          <w:szCs w:val="24"/>
          <w:lang w:val="en-US" w:eastAsia="zh-CN"/>
        </w:rPr>
        <w:t>14</w:t>
      </w:r>
      <w:r>
        <w:rPr>
          <w:rFonts w:hint="eastAsia" w:ascii="Times New Roman" w:hAnsi="Times New Roman" w:eastAsia="方正楷体_GBK" w:cs="Times New Roman"/>
          <w:snapToGrid/>
          <w:kern w:val="2"/>
          <w:szCs w:val="24"/>
          <w:lang w:val="en-US" w:eastAsia="zh-CN"/>
        </w:rPr>
        <w:t>日）</w:t>
      </w:r>
    </w:p>
    <w:p>
      <w:pPr>
        <w:pageBreakBefore w:val="0"/>
        <w:kinsoku/>
        <w:wordWrap/>
        <w:overflowPunct/>
        <w:topLinePunct/>
        <w:bidi w:val="0"/>
        <w:rPr>
          <w:rFonts w:hint="eastAsia"/>
        </w:rPr>
      </w:pPr>
      <w:r>
        <w:rPr>
          <w:rFonts w:hint="eastAsia"/>
          <w:lang w:val="en-US" w:eastAsia="zh-CN"/>
        </w:rPr>
        <w:t>为加快落实</w:t>
      </w:r>
      <w:r>
        <w:rPr>
          <w:rFonts w:hint="default" w:ascii="Times New Roman" w:hAnsi="Times New Roman" w:cs="Times New Roman"/>
          <w:b w:val="0"/>
          <w:bCs w:val="0"/>
          <w:snapToGrid/>
          <w:kern w:val="2"/>
          <w:szCs w:val="24"/>
          <w:lang w:val="en-US" w:eastAsia="zh-CN"/>
        </w:rPr>
        <w:t>《</w:t>
      </w:r>
      <w:r>
        <w:rPr>
          <w:rFonts w:hint="eastAsia" w:cs="Times New Roman"/>
          <w:b w:val="0"/>
          <w:bCs w:val="0"/>
          <w:snapToGrid/>
          <w:kern w:val="2"/>
          <w:szCs w:val="24"/>
          <w:lang w:val="en-US" w:eastAsia="zh-CN"/>
        </w:rPr>
        <w:t>南京江北新区</w:t>
      </w:r>
      <w:r>
        <w:rPr>
          <w:rFonts w:hint="default" w:ascii="Times New Roman" w:hAnsi="Times New Roman" w:cs="Times New Roman"/>
          <w:b w:val="0"/>
          <w:bCs w:val="0"/>
          <w:snapToGrid/>
          <w:kern w:val="2"/>
          <w:szCs w:val="24"/>
          <w:lang w:val="en-US" w:eastAsia="zh-CN"/>
        </w:rPr>
        <w:t>关于加快文旅产业创新发展的若干意见》</w:t>
      </w:r>
      <w:r>
        <w:rPr>
          <w:rFonts w:hint="eastAsia" w:cs="Times New Roman"/>
          <w:b w:val="0"/>
          <w:bCs w:val="0"/>
          <w:snapToGrid/>
          <w:kern w:val="2"/>
          <w:szCs w:val="24"/>
          <w:lang w:val="en-US" w:eastAsia="zh-CN"/>
        </w:rPr>
        <w:t>，培育和发展文化新质生产力，以文旅繁荣赋能新区高质量发展，</w:t>
      </w:r>
      <w:r>
        <w:rPr>
          <w:rFonts w:hint="eastAsia"/>
        </w:rPr>
        <w:t>宣传和统战部牵头</w:t>
      </w:r>
      <w:r>
        <w:rPr>
          <w:rFonts w:hint="eastAsia"/>
          <w:lang w:val="en-US" w:eastAsia="zh-CN"/>
        </w:rPr>
        <w:t>编制形成</w:t>
      </w:r>
      <w:r>
        <w:rPr>
          <w:rFonts w:hint="eastAsia"/>
        </w:rPr>
        <w:t>《南京江北新区促进文体旅产业高质量发展若干政策措施</w:t>
      </w:r>
      <w:r>
        <w:rPr>
          <w:rFonts w:hint="eastAsia"/>
          <w:lang w:eastAsia="zh-CN"/>
        </w:rPr>
        <w:t>（</w:t>
      </w:r>
      <w:r>
        <w:rPr>
          <w:rFonts w:hint="eastAsia"/>
          <w:lang w:val="en-US" w:eastAsia="zh-CN"/>
        </w:rPr>
        <w:t>征求意见稿</w:t>
      </w:r>
      <w:r>
        <w:rPr>
          <w:rFonts w:hint="eastAsia"/>
          <w:lang w:eastAsia="zh-CN"/>
        </w:rPr>
        <w:t>）</w:t>
      </w:r>
      <w:r>
        <w:rPr>
          <w:rFonts w:hint="eastAsia"/>
        </w:rPr>
        <w:t>》（以下简称《</w:t>
      </w:r>
      <w:r>
        <w:rPr>
          <w:rFonts w:hint="eastAsia"/>
          <w:lang w:val="en-US" w:eastAsia="zh-CN"/>
        </w:rPr>
        <w:t>措施</w:t>
      </w:r>
      <w:r>
        <w:rPr>
          <w:rFonts w:hint="eastAsia"/>
        </w:rPr>
        <w:t>》），现</w:t>
      </w:r>
      <w:r>
        <w:rPr>
          <w:rFonts w:hint="eastAsia"/>
          <w:lang w:val="en-US" w:eastAsia="zh-CN"/>
        </w:rPr>
        <w:t>将</w:t>
      </w:r>
      <w:r>
        <w:rPr>
          <w:rFonts w:hint="eastAsia"/>
        </w:rPr>
        <w:t>相关情况汇报如下：</w:t>
      </w:r>
    </w:p>
    <w:p>
      <w:pPr>
        <w:keepNext w:val="0"/>
        <w:keepLines w:val="0"/>
        <w:pageBreakBefore w:val="0"/>
        <w:widowControl w:val="0"/>
        <w:numPr>
          <w:ilvl w:val="0"/>
          <w:numId w:val="1"/>
        </w:numPr>
        <w:kinsoku/>
        <w:wordWrap/>
        <w:overflowPunct/>
        <w:topLinePunct/>
        <w:autoSpaceDE/>
        <w:autoSpaceDN/>
        <w:bidi w:val="0"/>
        <w:adjustRightInd/>
        <w:snapToGrid/>
        <w:spacing w:line="560" w:lineRule="exact"/>
        <w:ind w:right="0" w:firstLine="640" w:firstLineChars="200"/>
        <w:jc w:val="both"/>
        <w:textAlignment w:val="auto"/>
        <w:outlineLvl w:val="0"/>
        <w:rPr>
          <w:rFonts w:hint="eastAsia" w:ascii="Times New Roman" w:hAnsi="Times New Roman" w:eastAsia="方正黑体_GBK" w:cs="Times New Roman"/>
          <w:bCs/>
          <w:kern w:val="44"/>
          <w:sz w:val="32"/>
          <w:szCs w:val="44"/>
          <w:lang w:val="en-US" w:eastAsia="zh-CN" w:bidi="ar-SA"/>
        </w:rPr>
      </w:pPr>
      <w:r>
        <w:rPr>
          <w:rFonts w:hint="eastAsia" w:eastAsia="方正黑体_GBK" w:cs="Times New Roman"/>
          <w:bCs/>
          <w:kern w:val="44"/>
          <w:sz w:val="32"/>
          <w:szCs w:val="44"/>
          <w:lang w:val="en-US" w:eastAsia="zh-CN" w:bidi="ar-SA"/>
        </w:rPr>
        <w:t>出台《措施》</w:t>
      </w:r>
      <w:r>
        <w:rPr>
          <w:rFonts w:hint="eastAsia" w:ascii="Times New Roman" w:hAnsi="Times New Roman" w:eastAsia="方正黑体_GBK" w:cs="Times New Roman"/>
          <w:bCs/>
          <w:kern w:val="44"/>
          <w:sz w:val="32"/>
          <w:szCs w:val="44"/>
          <w:lang w:val="en-US" w:eastAsia="zh-CN" w:bidi="ar-SA"/>
        </w:rPr>
        <w:t>的</w:t>
      </w:r>
      <w:r>
        <w:rPr>
          <w:rFonts w:hint="eastAsia" w:eastAsia="方正黑体_GBK" w:cs="Times New Roman"/>
          <w:bCs/>
          <w:kern w:val="44"/>
          <w:sz w:val="32"/>
          <w:szCs w:val="44"/>
          <w:lang w:val="en-US" w:eastAsia="zh-CN" w:bidi="ar-SA"/>
        </w:rPr>
        <w:t>背景情况</w:t>
      </w:r>
    </w:p>
    <w:p>
      <w:pPr>
        <w:pageBreakBefore w:val="0"/>
        <w:kinsoku/>
        <w:wordWrap/>
        <w:overflowPunct/>
        <w:topLinePunct/>
        <w:bidi w:val="0"/>
        <w:rPr>
          <w:rFonts w:hint="eastAsia"/>
          <w:lang w:val="en-US" w:eastAsia="zh-CN"/>
        </w:rPr>
      </w:pPr>
      <w:r>
        <w:rPr>
          <w:rFonts w:hint="default" w:ascii="Times New Roman" w:hAnsi="Times New Roman" w:cs="Times New Roman"/>
          <w:b/>
          <w:bCs/>
          <w:snapToGrid/>
          <w:kern w:val="2"/>
          <w:szCs w:val="24"/>
          <w:lang w:val="en-US" w:eastAsia="zh-CN"/>
        </w:rPr>
        <w:t>一是</w:t>
      </w:r>
      <w:r>
        <w:rPr>
          <w:rFonts w:hint="eastAsia" w:cs="Times New Roman"/>
          <w:b/>
          <w:bCs/>
          <w:snapToGrid/>
          <w:kern w:val="2"/>
          <w:szCs w:val="24"/>
          <w:lang w:val="en-US" w:eastAsia="zh-CN"/>
        </w:rPr>
        <w:t>紧扣上级部署要求。</w:t>
      </w:r>
      <w:r>
        <w:rPr>
          <w:rFonts w:hint="default" w:ascii="Times New Roman" w:hAnsi="Times New Roman" w:cs="Times New Roman"/>
          <w:b w:val="0"/>
          <w:bCs w:val="0"/>
          <w:snapToGrid/>
          <w:kern w:val="2"/>
          <w:szCs w:val="24"/>
          <w:lang w:val="en-US" w:eastAsia="zh-CN"/>
        </w:rPr>
        <w:t>深入贯彻党的二十大和二十届二中、三中</w:t>
      </w:r>
      <w:r>
        <w:rPr>
          <w:rFonts w:hint="eastAsia" w:cs="Times New Roman"/>
          <w:b w:val="0"/>
          <w:bCs w:val="0"/>
          <w:snapToGrid/>
          <w:kern w:val="2"/>
          <w:szCs w:val="24"/>
          <w:lang w:val="en-US" w:eastAsia="zh-CN"/>
        </w:rPr>
        <w:t>、四中</w:t>
      </w:r>
      <w:r>
        <w:rPr>
          <w:rFonts w:hint="default" w:ascii="Times New Roman" w:hAnsi="Times New Roman" w:cs="Times New Roman"/>
          <w:b w:val="0"/>
          <w:bCs w:val="0"/>
          <w:snapToGrid/>
          <w:kern w:val="2"/>
          <w:szCs w:val="24"/>
          <w:lang w:val="en-US" w:eastAsia="zh-CN"/>
        </w:rPr>
        <w:t>全会精神，全面落实习近平总书记关于</w:t>
      </w:r>
      <w:r>
        <w:rPr>
          <w:rFonts w:hint="eastAsia" w:cs="Times New Roman"/>
          <w:b w:val="0"/>
          <w:bCs w:val="0"/>
          <w:snapToGrid/>
          <w:kern w:val="2"/>
          <w:szCs w:val="24"/>
          <w:lang w:val="en-US" w:eastAsia="zh-CN"/>
        </w:rPr>
        <w:t>发展</w:t>
      </w:r>
      <w:r>
        <w:rPr>
          <w:rFonts w:hint="default" w:ascii="Times New Roman" w:hAnsi="Times New Roman" w:cs="Times New Roman"/>
          <w:b w:val="0"/>
          <w:bCs w:val="0"/>
          <w:snapToGrid/>
          <w:kern w:val="2"/>
          <w:szCs w:val="24"/>
          <w:lang w:val="en-US" w:eastAsia="zh-CN"/>
        </w:rPr>
        <w:t>新质生产力</w:t>
      </w:r>
      <w:r>
        <w:rPr>
          <w:rFonts w:hint="eastAsia" w:cs="Times New Roman"/>
          <w:b w:val="0"/>
          <w:bCs w:val="0"/>
          <w:snapToGrid/>
          <w:kern w:val="2"/>
          <w:szCs w:val="24"/>
          <w:lang w:val="en-US" w:eastAsia="zh-CN"/>
        </w:rPr>
        <w:t>的</w:t>
      </w:r>
      <w:r>
        <w:rPr>
          <w:rFonts w:hint="default" w:ascii="Times New Roman" w:hAnsi="Times New Roman" w:cs="Times New Roman"/>
          <w:b w:val="0"/>
          <w:bCs w:val="0"/>
          <w:snapToGrid/>
          <w:kern w:val="2"/>
          <w:szCs w:val="24"/>
          <w:lang w:val="en-US" w:eastAsia="zh-CN"/>
        </w:rPr>
        <w:t>重要论述和</w:t>
      </w:r>
      <w:r>
        <w:rPr>
          <w:rFonts w:hint="eastAsia" w:cs="Times New Roman"/>
          <w:b w:val="0"/>
          <w:bCs w:val="0"/>
          <w:snapToGrid/>
          <w:kern w:val="2"/>
          <w:szCs w:val="24"/>
          <w:lang w:val="en-US" w:eastAsia="zh-CN"/>
        </w:rPr>
        <w:t>习近平</w:t>
      </w:r>
      <w:r>
        <w:rPr>
          <w:rFonts w:hint="default" w:ascii="Times New Roman" w:hAnsi="Times New Roman" w:cs="Times New Roman"/>
          <w:b w:val="0"/>
          <w:bCs w:val="0"/>
          <w:snapToGrid/>
          <w:kern w:val="2"/>
          <w:szCs w:val="24"/>
          <w:lang w:val="en-US" w:eastAsia="zh-CN"/>
        </w:rPr>
        <w:t>文化思</w:t>
      </w:r>
      <w:r>
        <w:rPr>
          <w:rFonts w:hint="default"/>
          <w:lang w:val="en-US" w:eastAsia="zh-CN"/>
        </w:rPr>
        <w:t>想，</w:t>
      </w:r>
      <w:r>
        <w:rPr>
          <w:rFonts w:hint="eastAsia"/>
          <w:lang w:val="en-US" w:eastAsia="zh-CN"/>
        </w:rPr>
        <w:t>严格对标省委、市委决策部署，紧密围绕新区党工委、管委会《南京江北新区关于加快文旅产业创新发展的若干意见》工作要求，通过精准施策、靶向发力，推动文化、体育、旅游产业深度融合、高质量发展，为新区文旅繁荣发展注入新动能、激发新活力。</w:t>
      </w:r>
    </w:p>
    <w:p>
      <w:pPr>
        <w:pageBreakBefore w:val="0"/>
        <w:kinsoku/>
        <w:wordWrap/>
        <w:overflowPunct/>
        <w:topLinePunct/>
        <w:bidi w:val="0"/>
        <w:rPr>
          <w:rFonts w:hint="eastAsia"/>
          <w:lang w:val="en-US" w:eastAsia="zh-CN"/>
        </w:rPr>
      </w:pPr>
      <w:r>
        <w:rPr>
          <w:rFonts w:hint="eastAsia"/>
          <w:b/>
          <w:bCs/>
          <w:lang w:val="en-US" w:eastAsia="zh-CN"/>
        </w:rPr>
        <w:t>二是立足新区发展定位</w:t>
      </w:r>
      <w:r>
        <w:rPr>
          <w:rFonts w:hint="eastAsia"/>
          <w:lang w:val="en-US" w:eastAsia="zh-CN"/>
        </w:rPr>
        <w:t>。紧扣“现代、国际、精致、活力、生态”江北新主城建设目标，聚焦数字视听、演艺赛事、游戏动漫等重点发展方向，坚持创新驱动、市场导向，充分发挥政府在政策引导、资源配置和公共服务中的统筹协调作用，着力补短板、强弱项、塑亮点，构建布局合理、业态丰富、特色鲜明、生态优良的文体旅产业发展体系。</w:t>
      </w:r>
    </w:p>
    <w:p>
      <w:pPr>
        <w:pageBreakBefore w:val="0"/>
        <w:kinsoku/>
        <w:wordWrap/>
        <w:overflowPunct/>
        <w:topLinePunct/>
        <w:bidi w:val="0"/>
        <w:rPr>
          <w:rFonts w:hint="eastAsia"/>
          <w:lang w:val="en-US" w:eastAsia="zh-CN"/>
        </w:rPr>
      </w:pPr>
      <w:r>
        <w:rPr>
          <w:rFonts w:hint="eastAsia"/>
          <w:b/>
          <w:bCs/>
          <w:lang w:val="en-US" w:eastAsia="zh-CN"/>
        </w:rPr>
        <w:t>三是借鉴先进地区经验</w:t>
      </w:r>
      <w:r>
        <w:rPr>
          <w:rFonts w:hint="eastAsia"/>
          <w:lang w:val="en-US" w:eastAsia="zh-CN"/>
        </w:rPr>
        <w:t>。2024年以来，北京、上海、深圳、杭州、苏州等城市纷纷出台文体旅商融合发展相关扶持政策，为产业发展提供有力支撑。宣传和统战部系统梳理、深入研究各先进城市政策经验，重点借鉴其在新兴业态扶持、演艺赛事激励等方面的成熟做法，详细分析各城市在奖励系数设定、政策覆盖范围、资金兑现方式等方面的设计逻辑与实施成效，结合江北新区资源禀赋、产业基础和财政实际，编制形成《措施》草案，确保政策既贴合新区实际，又具有前瞻性和可操作性。</w:t>
      </w:r>
    </w:p>
    <w:p>
      <w:pPr>
        <w:keepNext w:val="0"/>
        <w:keepLines w:val="0"/>
        <w:pageBreakBefore w:val="0"/>
        <w:widowControl w:val="0"/>
        <w:numPr>
          <w:ilvl w:val="0"/>
          <w:numId w:val="1"/>
        </w:numPr>
        <w:kinsoku/>
        <w:wordWrap/>
        <w:overflowPunct/>
        <w:topLinePunct/>
        <w:autoSpaceDE/>
        <w:autoSpaceDN/>
        <w:bidi w:val="0"/>
        <w:adjustRightInd/>
        <w:snapToGrid/>
        <w:spacing w:line="560" w:lineRule="exact"/>
        <w:ind w:right="0" w:firstLine="640" w:firstLineChars="200"/>
        <w:jc w:val="both"/>
        <w:textAlignment w:val="auto"/>
        <w:outlineLvl w:val="0"/>
        <w:rPr>
          <w:rFonts w:hint="eastAsia" w:ascii="Times New Roman" w:hAnsi="Times New Roman" w:eastAsia="方正黑体_GBK" w:cs="Times New Roman"/>
          <w:bCs/>
          <w:kern w:val="44"/>
          <w:sz w:val="32"/>
          <w:szCs w:val="44"/>
          <w:lang w:val="en-US" w:eastAsia="zh-CN" w:bidi="ar-SA"/>
        </w:rPr>
      </w:pPr>
      <w:r>
        <w:rPr>
          <w:rFonts w:hint="eastAsia" w:ascii="Times New Roman" w:hAnsi="Times New Roman" w:eastAsia="方正黑体_GBK" w:cs="Times New Roman"/>
          <w:bCs/>
          <w:kern w:val="44"/>
          <w:sz w:val="32"/>
          <w:szCs w:val="44"/>
          <w:lang w:val="en-US" w:eastAsia="zh-CN" w:bidi="ar-SA"/>
        </w:rPr>
        <w:t>起草过程</w:t>
      </w:r>
    </w:p>
    <w:p>
      <w:pPr>
        <w:pageBreakBefore w:val="0"/>
        <w:kinsoku/>
        <w:wordWrap/>
        <w:overflowPunct/>
        <w:topLinePunct/>
        <w:bidi w:val="0"/>
        <w:jc w:val="both"/>
        <w:rPr>
          <w:rFonts w:hint="eastAsia"/>
          <w:lang w:val="en-US" w:eastAsia="zh-CN"/>
        </w:rPr>
      </w:pPr>
      <w:r>
        <w:rPr>
          <w:rFonts w:hint="eastAsia"/>
          <w:lang w:val="en-US" w:eastAsia="zh-CN"/>
        </w:rPr>
        <w:t>宣传和统战部严格按照新区党工委、管委会工作部署，对照《南京江北新区关于加快文旅产业创新发展的若干意见》要求，牵头负责本政策措施的编制工作。编制过程中，坚持开门纳谏、科学民主，通过专家论证、召开专题座谈会、书面征求意见、深入企业实地调研、面向社会公开征集等多种方式，广泛听取新区各部局、街道、园区及文体旅领域企业、社会组织的意见建议。期间共收到反馈意见13条，相关合理建议均已吸收采纳。同时，将《措施》报经政法工作部合法性审查、市场监督管理局公平竞争审查。新区党工委主要领导高度重视政策编制工作，专题听取进展汇报并作出具体指导。结合第三方法务合规审核意见和各方反馈意见，先后进行多轮修改完善，部主要领导牵头开展多轮专题研究审议，并经部务会研究通过后，最终形成本《措施》</w:t>
      </w:r>
      <w:r>
        <w:rPr>
          <w:rFonts w:hint="eastAsia"/>
          <w:lang w:eastAsia="zh-CN"/>
        </w:rPr>
        <w:t>（</w:t>
      </w:r>
      <w:r>
        <w:rPr>
          <w:rFonts w:hint="eastAsia"/>
          <w:lang w:val="en-US" w:eastAsia="zh-CN"/>
        </w:rPr>
        <w:t>征求意见稿</w:t>
      </w:r>
      <w:r>
        <w:rPr>
          <w:rFonts w:hint="eastAsia"/>
          <w:lang w:eastAsia="zh-CN"/>
        </w:rPr>
        <w:t>）</w:t>
      </w:r>
      <w:r>
        <w:rPr>
          <w:rFonts w:hint="eastAsia"/>
          <w:lang w:val="en-US" w:eastAsia="zh-CN"/>
        </w:rPr>
        <w:t>，切实保障政策合法合规、务实管用、切实可行。</w:t>
      </w:r>
    </w:p>
    <w:p>
      <w:pPr>
        <w:pStyle w:val="2"/>
        <w:pageBreakBefore w:val="0"/>
        <w:kinsoku/>
        <w:wordWrap/>
        <w:overflowPunct/>
        <w:topLinePunct/>
        <w:bidi w:val="0"/>
        <w:rPr>
          <w:rFonts w:hint="eastAsia" w:cs="方正楷体_GBK"/>
          <w:snapToGrid w:val="0"/>
          <w:color w:val="000000"/>
          <w:kern w:val="0"/>
          <w:sz w:val="32"/>
          <w:szCs w:val="32"/>
          <w:lang w:val="en-US" w:eastAsia="zh" w:bidi="ar-SA"/>
        </w:rPr>
      </w:pPr>
      <w:r>
        <w:rPr>
          <w:rFonts w:hint="eastAsia" w:cs="方正楷体_GBK"/>
          <w:snapToGrid w:val="0"/>
          <w:color w:val="000000"/>
          <w:kern w:val="0"/>
          <w:sz w:val="32"/>
          <w:szCs w:val="32"/>
          <w:lang w:val="en-US" w:eastAsia="zh" w:bidi="ar-SA"/>
        </w:rPr>
        <w:t>三、经费来源</w:t>
      </w:r>
    </w:p>
    <w:p>
      <w:pPr>
        <w:keepNext w:val="0"/>
        <w:keepLines w:val="0"/>
        <w:pageBreakBefore w:val="0"/>
        <w:widowControl w:val="0"/>
        <w:kinsoku/>
        <w:wordWrap/>
        <w:overflowPunct/>
        <w:topLinePunct/>
        <w:autoSpaceDE/>
        <w:autoSpaceDN/>
        <w:bidi w:val="0"/>
        <w:adjustRightInd/>
        <w:snapToGrid/>
        <w:spacing w:after="0" w:line="560" w:lineRule="exact"/>
        <w:ind w:firstLine="640" w:firstLineChars="200"/>
        <w:textAlignment w:val="auto"/>
        <w:rPr>
          <w:color w:val="auto"/>
          <w:sz w:val="32"/>
          <w:szCs w:val="32"/>
          <w:shd w:val="clear" w:color="auto" w:fill="auto"/>
        </w:rPr>
      </w:pPr>
      <w:r>
        <w:rPr>
          <w:color w:val="auto"/>
          <w:sz w:val="32"/>
          <w:szCs w:val="32"/>
          <w:shd w:val="clear" w:color="auto" w:fill="auto"/>
        </w:rPr>
        <w:t>体育产业相关项目奖补资金从体彩公益金中列支</w:t>
      </w:r>
      <w:r>
        <w:rPr>
          <w:rFonts w:hint="eastAsia"/>
          <w:color w:val="auto"/>
          <w:sz w:val="32"/>
          <w:szCs w:val="32"/>
          <w:shd w:val="clear" w:color="auto" w:fill="auto"/>
          <w:lang w:eastAsia="zh-CN"/>
        </w:rPr>
        <w:t>，</w:t>
      </w:r>
      <w:r>
        <w:rPr>
          <w:color w:val="auto"/>
          <w:sz w:val="32"/>
          <w:szCs w:val="32"/>
          <w:shd w:val="clear" w:color="auto" w:fill="auto"/>
        </w:rPr>
        <w:t>主要用于推进户外运动项目及设施建设、激励举办大型体育赛事、助力电竞俱乐部发展壮大；其</w:t>
      </w:r>
      <w:r>
        <w:rPr>
          <w:rFonts w:hint="eastAsia"/>
          <w:color w:val="auto"/>
          <w:sz w:val="32"/>
          <w:szCs w:val="32"/>
          <w:shd w:val="clear" w:color="auto" w:fill="auto"/>
          <w:lang w:val="en-US" w:eastAsia="zh-CN"/>
        </w:rPr>
        <w:t>他</w:t>
      </w:r>
      <w:r>
        <w:rPr>
          <w:color w:val="auto"/>
          <w:sz w:val="32"/>
          <w:szCs w:val="32"/>
          <w:shd w:val="clear" w:color="auto" w:fill="auto"/>
        </w:rPr>
        <w:t>文体旅相关项目奖补资金，按照江北新区财政分成体制兑现，由区级财政与街道（平台）按规定比例统筹兑付，保障资金及时足额落实到位</w:t>
      </w:r>
      <w:r>
        <w:rPr>
          <w:rFonts w:hint="eastAsia"/>
          <w:color w:val="auto"/>
          <w:sz w:val="32"/>
          <w:szCs w:val="32"/>
          <w:shd w:val="clear" w:color="auto" w:fill="auto"/>
          <w:lang w:eastAsia="zh-CN"/>
        </w:rPr>
        <w:t>。</w:t>
      </w:r>
      <w:r>
        <w:rPr>
          <w:rFonts w:hint="eastAsia"/>
          <w:color w:val="auto"/>
          <w:sz w:val="32"/>
          <w:szCs w:val="32"/>
          <w:shd w:val="clear" w:color="auto" w:fill="auto"/>
          <w:lang w:val="en-US" w:eastAsia="zh-CN"/>
        </w:rPr>
        <w:t>2026年区级层面已安排专项资金预算340万元（不含体彩公益金）</w:t>
      </w:r>
      <w:r>
        <w:rPr>
          <w:color w:val="auto"/>
          <w:sz w:val="32"/>
          <w:szCs w:val="32"/>
          <w:shd w:val="clear" w:color="auto" w:fill="auto"/>
        </w:rPr>
        <w:t>。</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0"/>
        <w:rPr>
          <w:rFonts w:hint="eastAsia" w:ascii="Times New Roman" w:hAnsi="Times New Roman" w:eastAsia="方正黑体_GBK" w:cs="Times New Roman"/>
          <w:bCs/>
          <w:kern w:val="44"/>
          <w:sz w:val="32"/>
          <w:szCs w:val="44"/>
          <w:lang w:val="en-US" w:eastAsia="zh-CN" w:bidi="ar-SA"/>
        </w:rPr>
      </w:pPr>
      <w:r>
        <w:rPr>
          <w:rFonts w:hint="eastAsia" w:eastAsia="方正黑体_GBK" w:cs="Times New Roman"/>
          <w:bCs/>
          <w:kern w:val="44"/>
          <w:sz w:val="32"/>
          <w:szCs w:val="44"/>
          <w:lang w:val="en-US" w:eastAsia="zh" w:bidi="ar-SA"/>
        </w:rPr>
        <w:t>四、</w:t>
      </w:r>
      <w:r>
        <w:rPr>
          <w:rFonts w:hint="eastAsia" w:ascii="Times New Roman" w:hAnsi="Times New Roman" w:eastAsia="方正黑体_GBK" w:cs="Times New Roman"/>
          <w:bCs/>
          <w:kern w:val="44"/>
          <w:sz w:val="32"/>
          <w:szCs w:val="44"/>
          <w:lang w:val="en-US" w:eastAsia="zh-CN" w:bidi="ar-SA"/>
        </w:rPr>
        <w:t>基本框架和主要内容</w:t>
      </w:r>
    </w:p>
    <w:p>
      <w:pPr>
        <w:pageBreakBefore w:val="0"/>
        <w:kinsoku/>
        <w:wordWrap/>
        <w:overflowPunct/>
        <w:topLinePunct/>
        <w:bidi w:val="0"/>
        <w:rPr>
          <w:rFonts w:hint="eastAsia"/>
          <w:lang w:val="en-US" w:eastAsia="zh-CN"/>
        </w:rPr>
      </w:pPr>
      <w:r>
        <w:rPr>
          <w:rFonts w:hint="eastAsia"/>
          <w:lang w:eastAsia="zh-CN"/>
        </w:rPr>
        <w:t>（</w:t>
      </w:r>
      <w:r>
        <w:rPr>
          <w:rFonts w:hint="eastAsia"/>
          <w:lang w:val="en-US" w:eastAsia="zh-CN"/>
        </w:rPr>
        <w:t>一</w:t>
      </w:r>
      <w:r>
        <w:rPr>
          <w:rFonts w:hint="eastAsia"/>
          <w:lang w:eastAsia="zh-CN"/>
        </w:rPr>
        <w:t>）</w:t>
      </w:r>
      <w:r>
        <w:rPr>
          <w:rFonts w:hint="eastAsia"/>
          <w:lang w:val="en-US" w:eastAsia="zh-CN"/>
        </w:rPr>
        <w:t>适用范围</w:t>
      </w:r>
    </w:p>
    <w:p>
      <w:pPr>
        <w:pageBreakBefore w:val="0"/>
        <w:kinsoku/>
        <w:wordWrap/>
        <w:overflowPunct/>
        <w:topLinePunct/>
        <w:bidi w:val="0"/>
        <w:rPr>
          <w:rFonts w:hint="default"/>
          <w:lang w:val="en-US" w:eastAsia="zh-CN"/>
        </w:rPr>
      </w:pPr>
      <w:r>
        <w:rPr>
          <w:rFonts w:hint="eastAsia"/>
          <w:lang w:val="en-US" w:eastAsia="zh-CN"/>
        </w:rPr>
        <w:t>在江北新区依法经营，具有健全财务管理制度和良好财务信用记录，从事文体旅相关经营活动的企业和社会组织；</w:t>
      </w:r>
      <w:r>
        <w:rPr>
          <w:color w:val="auto"/>
          <w:sz w:val="32"/>
          <w:szCs w:val="32"/>
          <w:shd w:val="clear" w:color="auto" w:fill="auto"/>
        </w:rPr>
        <w:t>党政机关、事业单位，区级国有独资及控股企业，以及其他</w:t>
      </w:r>
      <w:r>
        <w:rPr>
          <w:rFonts w:hint="eastAsia"/>
          <w:color w:val="auto"/>
          <w:sz w:val="32"/>
          <w:szCs w:val="32"/>
          <w:shd w:val="clear" w:color="auto" w:fill="auto"/>
          <w:lang w:val="en-US" w:eastAsia="zh-CN"/>
        </w:rPr>
        <w:t>纳入区级财政预算保障</w:t>
      </w:r>
      <w:r>
        <w:rPr>
          <w:color w:val="auto"/>
          <w:sz w:val="32"/>
          <w:szCs w:val="32"/>
          <w:shd w:val="clear" w:color="auto" w:fill="auto"/>
        </w:rPr>
        <w:t>的单位，不适用本政策。</w:t>
      </w:r>
      <w:r>
        <w:rPr>
          <w:rFonts w:hint="eastAsia"/>
          <w:lang w:val="en-US" w:eastAsia="zh-CN"/>
        </w:rPr>
        <w:t>
</w:t>
      </w:r>
    </w:p>
    <w:p>
      <w:pPr>
        <w:pageBreakBefore w:val="0"/>
        <w:kinsoku/>
        <w:wordWrap/>
        <w:overflowPunct/>
        <w:topLinePunct/>
        <w:bidi w:val="0"/>
        <w:rPr>
          <w:rFonts w:hint="default" w:eastAsia="方正仿宋_GBK"/>
          <w:lang w:val="en-US" w:eastAsia="zh-CN"/>
        </w:rPr>
      </w:pPr>
      <w:r>
        <w:rPr>
          <w:rFonts w:hint="eastAsia"/>
          <w:lang w:eastAsia="zh-CN"/>
        </w:rPr>
        <w:t>（</w:t>
      </w:r>
      <w:r>
        <w:rPr>
          <w:rFonts w:hint="eastAsia"/>
          <w:lang w:val="en-US" w:eastAsia="zh-CN"/>
        </w:rPr>
        <w:t>二</w:t>
      </w:r>
      <w:r>
        <w:rPr>
          <w:rFonts w:hint="eastAsia"/>
          <w:lang w:eastAsia="zh-CN"/>
        </w:rPr>
        <w:t>）</w:t>
      </w:r>
      <w:r>
        <w:rPr>
          <w:rFonts w:hint="eastAsia"/>
          <w:lang w:val="en-US" w:eastAsia="zh-CN"/>
        </w:rPr>
        <w:t>具体举措</w:t>
      </w:r>
    </w:p>
    <w:p>
      <w:pPr>
        <w:pStyle w:val="9"/>
        <w:keepNext w:val="0"/>
        <w:keepLines w:val="0"/>
        <w:pageBreakBefore w:val="0"/>
        <w:widowControl w:val="0"/>
        <w:kinsoku/>
        <w:wordWrap/>
        <w:overflowPunct/>
        <w:topLinePunct/>
        <w:autoSpaceDE/>
        <w:autoSpaceDN/>
        <w:bidi w:val="0"/>
        <w:adjustRightInd/>
        <w:snapToGrid/>
        <w:spacing w:after="0" w:line="560" w:lineRule="exact"/>
        <w:ind w:firstLine="640" w:firstLineChars="200"/>
        <w:textAlignment w:val="auto"/>
        <w:rPr>
          <w:rFonts w:hint="eastAsia" w:eastAsia="方正仿宋_GBK" w:cs="方正楷体_GBK"/>
          <w:snapToGrid w:val="0"/>
          <w:color w:val="000000"/>
          <w:kern w:val="0"/>
          <w:sz w:val="32"/>
          <w:szCs w:val="32"/>
          <w:lang w:val="en-US" w:eastAsia="zh-CN" w:bidi="ar-SA"/>
        </w:rPr>
      </w:pPr>
      <w:r>
        <w:rPr>
          <w:rFonts w:hint="eastAsia" w:ascii="Times New Roman" w:hAnsi="Times New Roman" w:eastAsia="方正仿宋_GBK" w:cs="方正楷体_GBK"/>
          <w:snapToGrid w:val="0"/>
          <w:color w:val="000000"/>
          <w:kern w:val="0"/>
          <w:sz w:val="32"/>
          <w:szCs w:val="32"/>
          <w:lang w:val="en-US" w:eastAsia="zh-CN" w:bidi="ar-SA"/>
        </w:rPr>
        <w:t>突出文旅繁荣助力高质量发展，推出</w:t>
      </w:r>
      <w:r>
        <w:rPr>
          <w:rFonts w:hint="eastAsia" w:cs="方正楷体_GBK"/>
          <w:snapToGrid w:val="0"/>
          <w:color w:val="000000"/>
          <w:kern w:val="0"/>
          <w:sz w:val="32"/>
          <w:szCs w:val="32"/>
          <w:lang w:val="en-US" w:eastAsia="zh-CN" w:bidi="ar-SA"/>
        </w:rPr>
        <w:t>9项</w:t>
      </w:r>
      <w:r>
        <w:rPr>
          <w:rFonts w:hint="eastAsia" w:ascii="Times New Roman" w:hAnsi="Times New Roman" w:eastAsia="方正仿宋_GBK" w:cs="方正楷体_GBK"/>
          <w:snapToGrid w:val="0"/>
          <w:color w:val="000000"/>
          <w:kern w:val="0"/>
          <w:sz w:val="32"/>
          <w:szCs w:val="32"/>
          <w:lang w:val="en-US" w:eastAsia="zh-CN" w:bidi="ar-SA"/>
        </w:rPr>
        <w:t>举措，奖优、扶强、提质、增效</w:t>
      </w:r>
      <w:r>
        <w:rPr>
          <w:rFonts w:hint="eastAsia" w:eastAsia="方正仿宋_GBK" w:cs="方正楷体_GBK"/>
          <w:snapToGrid w:val="0"/>
          <w:color w:val="000000"/>
          <w:kern w:val="0"/>
          <w:sz w:val="32"/>
          <w:szCs w:val="32"/>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方正仿宋_GBK" w:cs="Times New Roman"/>
          <w:color w:val="auto"/>
          <w:kern w:val="2"/>
          <w:sz w:val="32"/>
          <w:szCs w:val="24"/>
          <w:highlight w:val="none"/>
          <w:shd w:val="clear" w:color="auto" w:fill="auto"/>
          <w:lang w:val="en-US" w:eastAsia="zh-CN" w:bidi="ar-SA"/>
        </w:rPr>
      </w:pPr>
      <w:bookmarkStart w:id="0" w:name="OLE_LINK10"/>
      <w:bookmarkStart w:id="1" w:name="OLE_LINK9"/>
      <w:r>
        <w:rPr>
          <w:rFonts w:hint="eastAsia"/>
          <w:b/>
          <w:bCs/>
          <w:color w:val="auto"/>
          <w:highlight w:val="none"/>
          <w:shd w:val="clear" w:color="auto" w:fill="auto"/>
        </w:rPr>
        <w:t>1.</w:t>
      </w:r>
      <w:r>
        <w:rPr>
          <w:rFonts w:hint="eastAsia"/>
          <w:b/>
          <w:bCs/>
          <w:color w:val="auto"/>
          <w:highlight w:val="none"/>
          <w:shd w:val="clear" w:color="auto" w:fill="auto"/>
          <w:lang w:val="en-US" w:eastAsia="zh-CN"/>
        </w:rPr>
        <w:t xml:space="preserve"> </w:t>
      </w:r>
      <w:bookmarkStart w:id="2" w:name="OLE_LINK7"/>
      <w:r>
        <w:rPr>
          <w:rFonts w:hint="eastAsia"/>
          <w:b/>
          <w:bCs/>
          <w:color w:val="auto"/>
          <w:highlight w:val="none"/>
          <w:shd w:val="clear" w:color="auto" w:fill="auto"/>
          <w:lang w:val="en-US" w:eastAsia="zh-CN"/>
        </w:rPr>
        <w:t>强化优质项目培育</w:t>
      </w:r>
      <w:r>
        <w:rPr>
          <w:rFonts w:hint="eastAsia"/>
          <w:color w:val="auto"/>
          <w:highlight w:val="none"/>
          <w:shd w:val="clear" w:color="auto" w:fill="auto"/>
        </w:rPr>
        <w:t>。</w:t>
      </w:r>
      <w:bookmarkStart w:id="3" w:name="OLE_LINK11"/>
      <w:bookmarkStart w:id="4" w:name="OLE_LINK4"/>
      <w:r>
        <w:rPr>
          <w:rFonts w:hint="eastAsia"/>
          <w:color w:val="auto"/>
          <w:highlight w:val="none"/>
          <w:shd w:val="clear" w:color="auto" w:fill="auto"/>
          <w:lang w:val="en-US" w:eastAsia="zh-CN"/>
        </w:rPr>
        <w:t>鼓励企业</w:t>
      </w:r>
      <w:r>
        <w:rPr>
          <w:rFonts w:hint="default" w:ascii="Times New Roman" w:hAnsi="Times New Roman" w:cs="Times New Roman"/>
          <w:color w:val="auto"/>
          <w:kern w:val="0"/>
          <w:szCs w:val="32"/>
        </w:rPr>
        <w:t>聚焦AIGC</w:t>
      </w:r>
      <w:r>
        <w:rPr>
          <w:rFonts w:hint="eastAsia" w:cs="Times New Roman"/>
          <w:color w:val="auto"/>
          <w:kern w:val="0"/>
          <w:szCs w:val="32"/>
          <w:lang w:val="en-US" w:eastAsia="zh-CN"/>
        </w:rPr>
        <w:t>等</w:t>
      </w:r>
      <w:r>
        <w:rPr>
          <w:rFonts w:hint="default" w:ascii="Times New Roman" w:hAnsi="Times New Roman" w:cs="Times New Roman"/>
          <w:color w:val="auto"/>
          <w:kern w:val="0"/>
          <w:szCs w:val="32"/>
        </w:rPr>
        <w:t>前沿领域开展技术研发与场景应用</w:t>
      </w:r>
      <w:bookmarkEnd w:id="3"/>
      <w:r>
        <w:rPr>
          <w:rFonts w:hint="eastAsia" w:cs="Times New Roman"/>
          <w:color w:val="auto"/>
          <w:kern w:val="2"/>
          <w:sz w:val="32"/>
          <w:szCs w:val="24"/>
          <w:highlight w:val="none"/>
          <w:shd w:val="clear" w:color="auto" w:fill="auto"/>
          <w:lang w:val="en-US" w:eastAsia="zh-CN" w:bidi="ar-SA"/>
        </w:rPr>
        <w:t>。建立项目申报评审制度，根据</w:t>
      </w:r>
      <w:r>
        <w:rPr>
          <w:rFonts w:hint="eastAsia"/>
          <w:color w:val="auto"/>
          <w:highlight w:val="none"/>
          <w:shd w:val="clear" w:color="auto" w:fill="auto"/>
        </w:rPr>
        <w:t>技术创新性、场景落地成效、人才团队实力、行业示范价值维度，</w:t>
      </w:r>
      <w:r>
        <w:rPr>
          <w:rFonts w:hint="eastAsia"/>
          <w:color w:val="auto"/>
          <w:highlight w:val="none"/>
          <w:shd w:val="clear" w:color="auto" w:fill="auto"/>
          <w:lang w:val="en-US" w:eastAsia="zh-CN"/>
        </w:rPr>
        <w:t>分档次给予</w:t>
      </w:r>
      <w:r>
        <w:rPr>
          <w:rFonts w:hint="eastAsia" w:cs="Times New Roman"/>
          <w:color w:val="auto"/>
          <w:kern w:val="2"/>
          <w:sz w:val="32"/>
          <w:szCs w:val="24"/>
          <w:highlight w:val="none"/>
          <w:shd w:val="clear" w:color="auto" w:fill="auto"/>
          <w:lang w:val="en-US" w:eastAsia="zh-CN" w:bidi="ar-SA"/>
        </w:rPr>
        <w:t>项目主体</w:t>
      </w:r>
      <w:r>
        <w:rPr>
          <w:rFonts w:hint="eastAsia"/>
          <w:color w:val="auto"/>
          <w:highlight w:val="none"/>
          <w:shd w:val="clear" w:color="auto" w:fill="auto"/>
          <w:lang w:val="en-US" w:eastAsia="zh-CN"/>
        </w:rPr>
        <w:t>最高200万元</w:t>
      </w:r>
      <w:r>
        <w:rPr>
          <w:rFonts w:hint="eastAsia" w:cs="Times New Roman"/>
          <w:color w:val="auto"/>
          <w:kern w:val="2"/>
          <w:sz w:val="32"/>
          <w:szCs w:val="24"/>
          <w:highlight w:val="none"/>
          <w:shd w:val="clear" w:color="auto" w:fill="auto"/>
          <w:lang w:val="en-US" w:eastAsia="zh-CN" w:bidi="ar-SA"/>
        </w:rPr>
        <w:t>奖补。</w:t>
      </w:r>
      <w:r>
        <w:rPr>
          <w:rFonts w:hint="eastAsia" w:cs="Times New Roman"/>
          <w:color w:val="auto"/>
          <w:kern w:val="0"/>
          <w:szCs w:val="32"/>
          <w:lang w:val="en-US" w:eastAsia="zh-CN"/>
        </w:rPr>
        <w:t>奖补</w:t>
      </w:r>
      <w:r>
        <w:rPr>
          <w:rFonts w:hint="eastAsia" w:ascii="Times New Roman" w:hAnsi="Times New Roman" w:eastAsia="方正仿宋_GBK" w:cs="Times New Roman"/>
          <w:color w:val="auto"/>
          <w:kern w:val="2"/>
          <w:sz w:val="32"/>
          <w:szCs w:val="24"/>
          <w:highlight w:val="none"/>
          <w:shd w:val="clear" w:color="auto" w:fill="auto"/>
          <w:lang w:val="en-US" w:eastAsia="zh-CN" w:bidi="ar-SA"/>
        </w:rPr>
        <w:t>资金实行分期拨付，项目当年申报</w:t>
      </w:r>
      <w:r>
        <w:rPr>
          <w:rFonts w:hint="eastAsia" w:cs="Times New Roman"/>
          <w:color w:val="auto"/>
          <w:kern w:val="2"/>
          <w:sz w:val="32"/>
          <w:szCs w:val="24"/>
          <w:highlight w:val="none"/>
          <w:shd w:val="clear" w:color="auto" w:fill="auto"/>
          <w:lang w:val="en-US" w:eastAsia="zh-CN" w:bidi="ar-SA"/>
        </w:rPr>
        <w:t>评审</w:t>
      </w:r>
      <w:r>
        <w:rPr>
          <w:rFonts w:hint="eastAsia" w:ascii="Times New Roman" w:hAnsi="Times New Roman" w:eastAsia="方正仿宋_GBK" w:cs="Times New Roman"/>
          <w:color w:val="auto"/>
          <w:kern w:val="2"/>
          <w:sz w:val="32"/>
          <w:szCs w:val="24"/>
          <w:highlight w:val="none"/>
          <w:shd w:val="clear" w:color="auto" w:fill="auto"/>
          <w:lang w:val="en-US" w:eastAsia="zh-CN" w:bidi="ar-SA"/>
        </w:rPr>
        <w:t>通过后兑现60%，次年绩效</w:t>
      </w:r>
      <w:r>
        <w:rPr>
          <w:rFonts w:hint="eastAsia" w:cs="Times New Roman"/>
          <w:color w:val="auto"/>
          <w:kern w:val="2"/>
          <w:sz w:val="32"/>
          <w:szCs w:val="24"/>
          <w:highlight w:val="none"/>
          <w:shd w:val="clear" w:color="auto" w:fill="auto"/>
          <w:lang w:val="en-US" w:eastAsia="zh-CN" w:bidi="ar-SA"/>
        </w:rPr>
        <w:t>评估</w:t>
      </w:r>
      <w:r>
        <w:rPr>
          <w:rFonts w:hint="eastAsia" w:ascii="Times New Roman" w:hAnsi="Times New Roman" w:eastAsia="方正仿宋_GBK" w:cs="Times New Roman"/>
          <w:color w:val="auto"/>
          <w:kern w:val="2"/>
          <w:sz w:val="32"/>
          <w:szCs w:val="24"/>
          <w:highlight w:val="none"/>
          <w:shd w:val="clear" w:color="auto" w:fill="auto"/>
          <w:lang w:val="en-US" w:eastAsia="zh-CN" w:bidi="ar-SA"/>
        </w:rPr>
        <w:t>合格的，</w:t>
      </w:r>
      <w:r>
        <w:rPr>
          <w:rFonts w:hint="eastAsia" w:ascii="Times New Roman" w:hAnsi="Times New Roman" w:cs="Times New Roman"/>
          <w:color w:val="auto"/>
          <w:kern w:val="2"/>
          <w:sz w:val="32"/>
          <w:szCs w:val="24"/>
          <w:highlight w:val="none"/>
          <w:shd w:val="clear" w:color="auto" w:fill="auto"/>
          <w:lang w:val="en-US" w:eastAsia="zh-CN" w:bidi="ar-SA"/>
        </w:rPr>
        <w:t>再</w:t>
      </w:r>
      <w:r>
        <w:rPr>
          <w:rFonts w:hint="eastAsia" w:ascii="Times New Roman" w:hAnsi="Times New Roman" w:eastAsia="方正仿宋_GBK" w:cs="Times New Roman"/>
          <w:color w:val="auto"/>
          <w:kern w:val="2"/>
          <w:sz w:val="32"/>
          <w:szCs w:val="24"/>
          <w:highlight w:val="none"/>
          <w:shd w:val="clear" w:color="auto" w:fill="auto"/>
          <w:lang w:val="en-US" w:eastAsia="zh-CN" w:bidi="ar-SA"/>
        </w:rPr>
        <w:t>兑付剩余40%。</w:t>
      </w:r>
    </w:p>
    <w:bookmarkEnd w:id="0"/>
    <w:bookmarkEnd w:id="2"/>
    <w:bookmarkEnd w:id="4"/>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color w:val="auto"/>
          <w:highlight w:val="none"/>
          <w:shd w:val="clear" w:color="auto" w:fill="auto"/>
        </w:rPr>
      </w:pPr>
      <w:r>
        <w:rPr>
          <w:rFonts w:hint="eastAsia"/>
          <w:b/>
          <w:bCs/>
          <w:color w:val="auto"/>
          <w:highlight w:val="none"/>
          <w:shd w:val="clear" w:color="auto" w:fill="auto"/>
          <w:lang w:val="en-US" w:eastAsia="zh-CN"/>
        </w:rPr>
        <w:t>2</w:t>
      </w:r>
      <w:r>
        <w:rPr>
          <w:rFonts w:hint="eastAsia"/>
          <w:b/>
          <w:bCs/>
          <w:color w:val="auto"/>
          <w:highlight w:val="none"/>
          <w:shd w:val="clear" w:color="auto" w:fill="auto"/>
        </w:rPr>
        <w:t>.</w:t>
      </w:r>
      <w:r>
        <w:rPr>
          <w:rFonts w:hint="eastAsia"/>
          <w:b/>
          <w:bCs/>
          <w:color w:val="auto"/>
          <w:highlight w:val="none"/>
          <w:shd w:val="clear" w:color="auto" w:fill="auto"/>
          <w:lang w:val="en-US" w:eastAsia="zh-CN"/>
        </w:rPr>
        <w:t xml:space="preserve"> </w:t>
      </w:r>
      <w:r>
        <w:rPr>
          <w:rFonts w:hint="eastAsia"/>
          <w:b/>
          <w:bCs/>
          <w:color w:val="auto"/>
          <w:highlight w:val="none"/>
          <w:shd w:val="clear" w:color="auto" w:fill="auto"/>
        </w:rPr>
        <w:t>鼓励举办</w:t>
      </w:r>
      <w:r>
        <w:rPr>
          <w:rFonts w:hint="eastAsia"/>
          <w:b/>
          <w:bCs/>
          <w:color w:val="auto"/>
          <w:highlight w:val="none"/>
          <w:shd w:val="clear" w:color="auto" w:fill="auto"/>
          <w:lang w:val="en-US" w:eastAsia="zh-CN"/>
        </w:rPr>
        <w:t>大型演艺活动</w:t>
      </w:r>
      <w:r>
        <w:rPr>
          <w:rFonts w:hint="eastAsia"/>
          <w:color w:val="auto"/>
          <w:highlight w:val="none"/>
          <w:shd w:val="clear" w:color="auto" w:fill="auto"/>
        </w:rPr>
        <w:t>。</w:t>
      </w:r>
      <w:r>
        <w:rPr>
          <w:color w:val="auto"/>
          <w:sz w:val="32"/>
          <w:szCs w:val="32"/>
          <w:shd w:val="clear" w:color="auto" w:fill="auto"/>
        </w:rPr>
        <w:t>对在区内合法合规举办演唱会、音乐节等商业性演艺活动的主体，按售票规模分档给予补助：单场（站）售票不少于1.5万张</w:t>
      </w:r>
      <w:r>
        <w:rPr>
          <w:rFonts w:hint="eastAsia"/>
          <w:color w:val="auto"/>
          <w:sz w:val="32"/>
          <w:szCs w:val="32"/>
          <w:shd w:val="clear" w:color="auto" w:fill="auto"/>
          <w:lang w:val="en-US" w:eastAsia="zh-CN"/>
        </w:rPr>
        <w:t>的</w:t>
      </w:r>
      <w:r>
        <w:rPr>
          <w:color w:val="auto"/>
          <w:sz w:val="32"/>
          <w:szCs w:val="32"/>
          <w:shd w:val="clear" w:color="auto" w:fill="auto"/>
        </w:rPr>
        <w:t>，给予最高20万元补助；单场（站）售票不少于3万张</w:t>
      </w:r>
      <w:r>
        <w:rPr>
          <w:rFonts w:hint="eastAsia"/>
          <w:color w:val="auto"/>
          <w:sz w:val="32"/>
          <w:szCs w:val="32"/>
          <w:shd w:val="clear" w:color="auto" w:fill="auto"/>
          <w:lang w:val="en-US" w:eastAsia="zh-CN"/>
        </w:rPr>
        <w:t>的</w:t>
      </w:r>
      <w:r>
        <w:rPr>
          <w:color w:val="auto"/>
          <w:sz w:val="32"/>
          <w:szCs w:val="32"/>
          <w:shd w:val="clear" w:color="auto" w:fill="auto"/>
        </w:rPr>
        <w:t>，给予最高30万元补助</w:t>
      </w:r>
      <w:r>
        <w:rPr>
          <w:rFonts w:hint="eastAsia"/>
          <w:color w:val="auto"/>
          <w:sz w:val="32"/>
          <w:szCs w:val="32"/>
          <w:shd w:val="clear" w:color="auto" w:fill="auto"/>
          <w:lang w:eastAsia="zh-CN"/>
        </w:rPr>
        <w:t>。</w:t>
      </w:r>
      <w:r>
        <w:rPr>
          <w:color w:val="auto"/>
          <w:sz w:val="32"/>
          <w:szCs w:val="32"/>
          <w:shd w:val="clear" w:color="auto" w:fill="auto"/>
        </w:rPr>
        <w:t>同一主办单位年度补助上限为100万元。</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color w:val="auto"/>
          <w:highlight w:val="none"/>
          <w:shd w:val="clear" w:color="auto" w:fill="auto"/>
        </w:rPr>
      </w:pPr>
      <w:bookmarkStart w:id="5" w:name="OLE_LINK1"/>
      <w:r>
        <w:rPr>
          <w:rFonts w:hint="eastAsia"/>
          <w:b/>
          <w:bCs/>
          <w:color w:val="auto"/>
          <w:highlight w:val="none"/>
          <w:shd w:val="clear" w:color="auto" w:fill="auto"/>
          <w:lang w:val="en-US" w:eastAsia="zh-CN"/>
        </w:rPr>
        <w:t>3</w:t>
      </w:r>
      <w:r>
        <w:rPr>
          <w:rFonts w:hint="eastAsia"/>
          <w:b/>
          <w:bCs/>
          <w:color w:val="auto"/>
          <w:highlight w:val="none"/>
          <w:shd w:val="clear" w:color="auto" w:fill="auto"/>
        </w:rPr>
        <w:t>.</w:t>
      </w:r>
      <w:r>
        <w:rPr>
          <w:rFonts w:hint="eastAsia"/>
          <w:b/>
          <w:bCs/>
          <w:color w:val="auto"/>
          <w:highlight w:val="none"/>
          <w:shd w:val="clear" w:color="auto" w:fill="auto"/>
          <w:lang w:val="en-US" w:eastAsia="zh-CN"/>
        </w:rPr>
        <w:t xml:space="preserve"> 扶持原创内容创作发行</w:t>
      </w:r>
      <w:r>
        <w:rPr>
          <w:rFonts w:hint="eastAsia"/>
          <w:color w:val="auto"/>
          <w:highlight w:val="none"/>
          <w:shd w:val="clear" w:color="auto" w:fill="auto"/>
        </w:rPr>
        <w:t>。</w:t>
      </w:r>
      <w:r>
        <w:rPr>
          <w:rFonts w:hint="eastAsia" w:ascii="Times New Roman" w:hAnsi="Times New Roman" w:cs="Times New Roman"/>
          <w:color w:val="auto"/>
          <w:highlight w:val="none"/>
          <w:shd w:val="clear" w:color="auto" w:fill="auto"/>
          <w:lang w:val="en-US" w:eastAsia="zh-CN"/>
        </w:rPr>
        <w:t>加大原创内容扶持力度，对拥有</w:t>
      </w:r>
      <w:r>
        <w:rPr>
          <w:rFonts w:hint="eastAsia" w:cs="Times New Roman"/>
          <w:color w:val="auto"/>
          <w:highlight w:val="none"/>
          <w:shd w:val="clear" w:color="auto" w:fill="auto"/>
          <w:lang w:val="en-US" w:eastAsia="zh-CN"/>
        </w:rPr>
        <w:t>独立完整</w:t>
      </w:r>
      <w:r>
        <w:rPr>
          <w:rFonts w:hint="eastAsia" w:ascii="Times New Roman" w:hAnsi="Times New Roman" w:cs="Times New Roman"/>
          <w:color w:val="auto"/>
          <w:highlight w:val="none"/>
          <w:shd w:val="clear" w:color="auto" w:fill="auto"/>
          <w:lang w:val="en-US" w:eastAsia="zh-CN"/>
        </w:rPr>
        <w:t>自主知识产权</w:t>
      </w:r>
      <w:r>
        <w:rPr>
          <w:rFonts w:hint="eastAsia" w:cs="Times New Roman"/>
          <w:color w:val="auto"/>
          <w:highlight w:val="none"/>
          <w:shd w:val="clear" w:color="auto" w:fill="auto"/>
          <w:lang w:val="en-US" w:eastAsia="zh-CN"/>
        </w:rPr>
        <w:t>，且区内企业作为第一出品方</w:t>
      </w:r>
      <w:r>
        <w:rPr>
          <w:rFonts w:hint="eastAsia" w:ascii="Times New Roman" w:hAnsi="Times New Roman" w:cs="Times New Roman"/>
          <w:color w:val="auto"/>
          <w:highlight w:val="none"/>
          <w:shd w:val="clear" w:color="auto" w:fill="auto"/>
          <w:lang w:val="en-US" w:eastAsia="zh-CN"/>
        </w:rPr>
        <w:t>的原创剧本、影视、</w:t>
      </w:r>
      <w:r>
        <w:rPr>
          <w:rFonts w:hint="eastAsia" w:cs="Times New Roman"/>
          <w:color w:val="auto"/>
          <w:highlight w:val="none"/>
          <w:shd w:val="clear" w:color="auto" w:fill="auto"/>
          <w:lang w:val="en-US" w:eastAsia="zh-CN"/>
        </w:rPr>
        <w:t>综艺节目、</w:t>
      </w:r>
      <w:r>
        <w:rPr>
          <w:rFonts w:hint="eastAsia" w:ascii="Times New Roman" w:hAnsi="Times New Roman" w:cs="Times New Roman"/>
          <w:color w:val="auto"/>
          <w:highlight w:val="none"/>
          <w:shd w:val="clear" w:color="auto" w:fill="auto"/>
          <w:lang w:val="en-US" w:eastAsia="zh-CN"/>
        </w:rPr>
        <w:t>游戏、动漫等作品，</w:t>
      </w:r>
      <w:r>
        <w:rPr>
          <w:rFonts w:hint="eastAsia" w:cs="Times New Roman"/>
          <w:color w:val="auto"/>
          <w:highlight w:val="none"/>
          <w:shd w:val="clear" w:color="auto" w:fill="auto"/>
          <w:lang w:val="en-US" w:eastAsia="zh-CN"/>
        </w:rPr>
        <w:t>在作品</w:t>
      </w:r>
      <w:r>
        <w:rPr>
          <w:rFonts w:hint="eastAsia" w:ascii="Times New Roman" w:hAnsi="Times New Roman" w:cs="Times New Roman"/>
          <w:color w:val="auto"/>
          <w:highlight w:val="none"/>
          <w:shd w:val="clear" w:color="auto" w:fill="auto"/>
          <w:lang w:val="en-US" w:eastAsia="zh-CN"/>
        </w:rPr>
        <w:t>正式上线、公映或发行后，</w:t>
      </w:r>
      <w:r>
        <w:rPr>
          <w:rFonts w:hint="eastAsia" w:cs="Times New Roman"/>
          <w:color w:val="auto"/>
          <w:highlight w:val="none"/>
          <w:shd w:val="clear" w:color="auto" w:fill="auto"/>
          <w:lang w:val="en-US" w:eastAsia="zh-CN"/>
        </w:rPr>
        <w:t>根据发行传播情况</w:t>
      </w:r>
      <w:r>
        <w:rPr>
          <w:rFonts w:ascii="Times New Roman" w:hAnsi="Times New Roman" w:cs="Times New Roman"/>
          <w:color w:val="auto"/>
          <w:sz w:val="32"/>
          <w:szCs w:val="32"/>
          <w:shd w:val="clear" w:color="auto" w:fill="auto"/>
        </w:rPr>
        <w:t>，给予最高50万元奖励</w:t>
      </w:r>
      <w:r>
        <w:rPr>
          <w:rFonts w:hint="eastAsia" w:ascii="Times New Roman" w:hAnsi="Times New Roman" w:cs="Times New Roman"/>
          <w:color w:val="auto"/>
          <w:sz w:val="32"/>
          <w:szCs w:val="32"/>
          <w:shd w:val="clear" w:color="auto" w:fill="auto"/>
          <w:lang w:eastAsia="zh-CN"/>
        </w:rPr>
        <w:t>。</w:t>
      </w:r>
      <w:r>
        <w:rPr>
          <w:rFonts w:ascii="Times New Roman" w:hAnsi="Times New Roman" w:cs="Times New Roman"/>
          <w:color w:val="auto"/>
          <w:sz w:val="32"/>
          <w:szCs w:val="32"/>
          <w:shd w:val="clear" w:color="auto" w:fill="auto"/>
        </w:rPr>
        <w:t>同</w:t>
      </w:r>
      <w:r>
        <w:rPr>
          <w:color w:val="auto"/>
          <w:sz w:val="32"/>
          <w:szCs w:val="32"/>
          <w:shd w:val="clear" w:color="auto" w:fill="auto"/>
        </w:rPr>
        <w:t>一市场主体年度奖励上限为200万元。</w:t>
      </w:r>
    </w:p>
    <w:bookmarkEnd w:id="5"/>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color w:val="auto"/>
          <w:highlight w:val="none"/>
          <w:shd w:val="clear" w:color="auto" w:fill="auto"/>
          <w:lang w:val="en-US" w:eastAsia="zh-CN"/>
        </w:rPr>
      </w:pPr>
      <w:r>
        <w:rPr>
          <w:rFonts w:hint="eastAsia"/>
          <w:b/>
          <w:bCs/>
          <w:color w:val="auto"/>
          <w:highlight w:val="none"/>
          <w:shd w:val="clear" w:color="auto" w:fill="auto"/>
          <w:lang w:val="en-US" w:eastAsia="zh-CN"/>
        </w:rPr>
        <w:t>4. 推进户外运动项目及设施建设</w:t>
      </w:r>
      <w:r>
        <w:rPr>
          <w:rFonts w:hint="eastAsia"/>
          <w:color w:val="auto"/>
          <w:highlight w:val="none"/>
          <w:shd w:val="clear" w:color="auto" w:fill="auto"/>
          <w:lang w:val="en-US" w:eastAsia="zh-CN"/>
        </w:rPr>
        <w:t>。</w:t>
      </w:r>
      <w:r>
        <w:rPr>
          <w:color w:val="auto"/>
          <w:sz w:val="32"/>
          <w:szCs w:val="32"/>
          <w:shd w:val="clear" w:color="auto" w:fill="auto"/>
        </w:rPr>
        <w:t>鼓励围绕“高质量户外运动目的地”建设，</w:t>
      </w:r>
      <w:r>
        <w:rPr>
          <w:rFonts w:hint="eastAsia"/>
          <w:color w:val="auto"/>
          <w:highlight w:val="none"/>
          <w:shd w:val="clear" w:color="auto" w:fill="auto"/>
          <w:lang w:val="en-US" w:eastAsia="zh-CN"/>
        </w:rPr>
        <w:t>开展水上、山地、低空、房车、冰雪、骑行等户外运动项目；支持体育场馆改造升级，引导利用老旧厂房、商业综合体等存量空间建设体育设施。对此类项目，给予项目实施主体不超过其上一会计年度实际支付金融机构贷款利息总额的50%，最高200万元补助。</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ascii="Segoe UI Emoji" w:hAnsi="Segoe UI Emoji" w:eastAsia="Segoe UI Emoji" w:cs="Segoe UI Emoji"/>
          <w:i w:val="0"/>
          <w:caps w:val="0"/>
          <w:color w:val="auto"/>
          <w:spacing w:val="0"/>
          <w:sz w:val="24"/>
          <w:szCs w:val="24"/>
          <w:shd w:val="clear" w:color="auto" w:fill="auto"/>
        </w:rPr>
      </w:pPr>
      <w:bookmarkStart w:id="6" w:name="OLE_LINK3"/>
      <w:r>
        <w:rPr>
          <w:rFonts w:hint="eastAsia"/>
          <w:b/>
          <w:bCs/>
          <w:color w:val="auto"/>
          <w:highlight w:val="none"/>
          <w:shd w:val="clear" w:color="auto" w:fill="auto"/>
          <w:lang w:val="en-US" w:eastAsia="zh-CN"/>
        </w:rPr>
        <w:t>5. 激励举办大型体育赛事</w:t>
      </w:r>
      <w:r>
        <w:rPr>
          <w:rFonts w:hint="eastAsia"/>
          <w:color w:val="auto"/>
          <w:highlight w:val="none"/>
          <w:shd w:val="clear" w:color="auto" w:fill="auto"/>
          <w:lang w:val="en-US" w:eastAsia="zh-CN"/>
        </w:rPr>
        <w:t>。</w:t>
      </w:r>
      <w:r>
        <w:rPr>
          <w:color w:val="auto"/>
          <w:sz w:val="32"/>
          <w:szCs w:val="32"/>
          <w:shd w:val="clear" w:color="auto" w:fill="auto"/>
        </w:rPr>
        <w:t>对在江北新区内市场化运营、合法合规举办的大型体育赛事，实际售票超1万人次的，按每人次10元标准给予奖励；对</w:t>
      </w:r>
      <w:r>
        <w:rPr>
          <w:rFonts w:hint="eastAsia"/>
          <w:color w:val="auto"/>
          <w:sz w:val="32"/>
          <w:szCs w:val="32"/>
          <w:shd w:val="clear" w:color="auto" w:fill="auto"/>
          <w:lang w:val="en-US" w:eastAsia="zh-CN"/>
        </w:rPr>
        <w:t>经国际体育组织认证</w:t>
      </w:r>
      <w:r>
        <w:rPr>
          <w:color w:val="auto"/>
          <w:sz w:val="32"/>
          <w:szCs w:val="32"/>
          <w:shd w:val="clear" w:color="auto" w:fill="auto"/>
        </w:rPr>
        <w:t>、参赛国家（地区）达6个及以上的国际级赛事，实际售票超1万人次的，按每人次15元标准给予奖励。</w:t>
      </w:r>
      <w:r>
        <w:rPr>
          <w:rFonts w:hint="eastAsia"/>
          <w:color w:val="auto"/>
          <w:sz w:val="32"/>
          <w:szCs w:val="32"/>
          <w:shd w:val="clear" w:color="auto" w:fill="auto"/>
          <w:lang w:val="en-US" w:eastAsia="zh-CN"/>
        </w:rPr>
        <w:t>单项赛事</w:t>
      </w:r>
      <w:r>
        <w:rPr>
          <w:color w:val="auto"/>
          <w:sz w:val="32"/>
          <w:szCs w:val="32"/>
          <w:shd w:val="clear" w:color="auto" w:fill="auto"/>
        </w:rPr>
        <w:t>补助上限为</w:t>
      </w:r>
      <w:r>
        <w:rPr>
          <w:rFonts w:hint="eastAsia"/>
          <w:color w:val="auto"/>
          <w:sz w:val="32"/>
          <w:szCs w:val="32"/>
          <w:shd w:val="clear" w:color="auto" w:fill="auto"/>
          <w:lang w:val="en-US" w:eastAsia="zh-CN"/>
        </w:rPr>
        <w:t>5</w:t>
      </w:r>
      <w:r>
        <w:rPr>
          <w:color w:val="auto"/>
          <w:sz w:val="32"/>
          <w:szCs w:val="32"/>
          <w:shd w:val="clear" w:color="auto" w:fill="auto"/>
        </w:rPr>
        <w:t>0万元。</w:t>
      </w:r>
    </w:p>
    <w:bookmarkEnd w:id="6"/>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cs="Times New Roman"/>
          <w:color w:val="auto"/>
          <w:sz w:val="32"/>
          <w:szCs w:val="32"/>
          <w:shd w:val="clear" w:color="auto" w:fill="auto"/>
          <w:lang w:val="en-US" w:eastAsia="zh-CN"/>
        </w:rPr>
      </w:pPr>
      <w:r>
        <w:rPr>
          <w:rFonts w:hint="eastAsia"/>
          <w:b/>
          <w:bCs/>
          <w:color w:val="auto"/>
          <w:highlight w:val="none"/>
          <w:shd w:val="clear" w:color="auto" w:fill="auto"/>
          <w:lang w:val="en-US" w:eastAsia="zh-CN"/>
        </w:rPr>
        <w:t>6. 助力电竞俱乐部发展壮大</w:t>
      </w:r>
      <w:r>
        <w:rPr>
          <w:rFonts w:hint="eastAsia"/>
          <w:color w:val="auto"/>
          <w:highlight w:val="none"/>
          <w:shd w:val="clear" w:color="auto" w:fill="auto"/>
        </w:rPr>
        <w:t>。</w:t>
      </w:r>
      <w:r>
        <w:rPr>
          <w:rFonts w:hint="eastAsia" w:cs="Times New Roman"/>
          <w:color w:val="auto"/>
          <w:sz w:val="32"/>
          <w:szCs w:val="32"/>
          <w:shd w:val="clear" w:color="auto" w:fill="auto"/>
          <w:lang w:val="en-US" w:eastAsia="zh-CN"/>
        </w:rPr>
        <w:t>对</w:t>
      </w:r>
      <w:r>
        <w:rPr>
          <w:rFonts w:hint="eastAsia" w:ascii="Times New Roman" w:hAnsi="Times New Roman" w:cs="Times New Roman"/>
          <w:color w:val="auto"/>
          <w:sz w:val="32"/>
          <w:szCs w:val="32"/>
          <w:shd w:val="clear" w:color="auto" w:fill="auto"/>
          <w:lang w:val="en-US" w:eastAsia="zh-CN"/>
        </w:rPr>
        <w:t>常态化运营</w:t>
      </w:r>
      <w:r>
        <w:rPr>
          <w:rFonts w:hint="eastAsia" w:cs="Times New Roman"/>
          <w:color w:val="auto"/>
          <w:sz w:val="32"/>
          <w:szCs w:val="32"/>
          <w:shd w:val="clear" w:color="auto" w:fill="auto"/>
          <w:lang w:val="en-US" w:eastAsia="zh-CN"/>
        </w:rPr>
        <w:t>的</w:t>
      </w:r>
      <w:r>
        <w:rPr>
          <w:rFonts w:hint="eastAsia" w:ascii="Times New Roman" w:hAnsi="Times New Roman" w:cs="Times New Roman"/>
          <w:color w:val="auto"/>
          <w:sz w:val="32"/>
          <w:szCs w:val="32"/>
          <w:shd w:val="clear" w:color="auto" w:fill="auto"/>
          <w:lang w:val="en-US" w:eastAsia="zh-CN"/>
        </w:rPr>
        <w:t>职业电竞俱乐部</w:t>
      </w:r>
      <w:r>
        <w:rPr>
          <w:rFonts w:hint="eastAsia"/>
          <w:color w:val="auto"/>
          <w:highlight w:val="none"/>
          <w:shd w:val="clear" w:color="auto" w:fill="auto"/>
        </w:rPr>
        <w:t>给予最高30万元</w:t>
      </w:r>
      <w:r>
        <w:rPr>
          <w:rFonts w:hint="eastAsia"/>
          <w:color w:val="auto"/>
          <w:highlight w:val="none"/>
          <w:shd w:val="clear" w:color="auto" w:fill="auto"/>
          <w:lang w:val="en-US" w:eastAsia="zh-CN"/>
        </w:rPr>
        <w:t>一次性</w:t>
      </w:r>
      <w:r>
        <w:rPr>
          <w:rFonts w:hint="eastAsia"/>
          <w:color w:val="auto"/>
          <w:highlight w:val="none"/>
          <w:shd w:val="clear" w:color="auto" w:fill="auto"/>
        </w:rPr>
        <w:t>补助</w:t>
      </w:r>
      <w:r>
        <w:rPr>
          <w:rFonts w:hint="eastAsia" w:cs="Times New Roman"/>
          <w:color w:val="auto"/>
          <w:sz w:val="32"/>
          <w:szCs w:val="32"/>
          <w:shd w:val="clear" w:color="auto" w:fill="auto"/>
          <w:lang w:val="en-US" w:eastAsia="zh-CN"/>
        </w:rPr>
        <w:t>，鼓励</w:t>
      </w:r>
      <w:r>
        <w:rPr>
          <w:rFonts w:hint="eastAsia" w:ascii="Times New Roman" w:hAnsi="Times New Roman" w:cs="Times New Roman"/>
          <w:color w:val="auto"/>
          <w:sz w:val="32"/>
          <w:szCs w:val="32"/>
          <w:shd w:val="clear" w:color="auto" w:fill="auto"/>
          <w:lang w:val="en-US" w:eastAsia="zh-CN"/>
        </w:rPr>
        <w:t>俱乐部参与全国顶级联赛、国际专业赛事，</w:t>
      </w:r>
      <w:r>
        <w:rPr>
          <w:rFonts w:hint="eastAsia" w:cs="Times New Roman"/>
          <w:color w:val="auto"/>
          <w:sz w:val="32"/>
          <w:szCs w:val="32"/>
          <w:shd w:val="clear" w:color="auto" w:fill="auto"/>
          <w:lang w:val="en-US" w:eastAsia="zh-CN"/>
        </w:rPr>
        <w:t>对参赛俱乐部</w:t>
      </w:r>
      <w:r>
        <w:rPr>
          <w:rFonts w:hint="eastAsia" w:ascii="Times New Roman" w:hAnsi="Times New Roman" w:cs="Times New Roman"/>
          <w:color w:val="auto"/>
          <w:sz w:val="32"/>
          <w:szCs w:val="32"/>
          <w:shd w:val="clear" w:color="auto" w:fill="auto"/>
          <w:lang w:val="en-US" w:eastAsia="zh-CN"/>
        </w:rPr>
        <w:t>给予最高50</w:t>
      </w:r>
      <w:r>
        <w:rPr>
          <w:rFonts w:hint="eastAsia" w:cs="Times New Roman"/>
          <w:color w:val="auto"/>
          <w:sz w:val="32"/>
          <w:szCs w:val="32"/>
          <w:shd w:val="clear" w:color="auto" w:fill="auto"/>
          <w:lang w:val="en-US" w:eastAsia="zh-CN"/>
        </w:rPr>
        <w:t>万</w:t>
      </w:r>
      <w:r>
        <w:rPr>
          <w:rFonts w:hint="eastAsia" w:ascii="Times New Roman" w:hAnsi="Times New Roman" w:cs="Times New Roman"/>
          <w:color w:val="auto"/>
          <w:sz w:val="32"/>
          <w:szCs w:val="32"/>
          <w:shd w:val="clear" w:color="auto" w:fill="auto"/>
          <w:lang w:val="en-US" w:eastAsia="zh-CN"/>
        </w:rPr>
        <w:t>元奖励。</w:t>
      </w:r>
      <w:r>
        <w:rPr>
          <w:rFonts w:hint="eastAsia" w:cs="Times New Roman"/>
          <w:color w:val="auto"/>
          <w:sz w:val="32"/>
          <w:szCs w:val="32"/>
          <w:shd w:val="clear" w:color="auto" w:fill="auto"/>
          <w:lang w:val="en-US" w:eastAsia="zh-CN"/>
        </w:rPr>
        <w:t>单个俱乐部年度奖励上限为200万元。</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color w:val="auto"/>
          <w:shd w:val="clear" w:color="auto" w:fill="auto"/>
        </w:rPr>
      </w:pPr>
      <w:r>
        <w:rPr>
          <w:rFonts w:hint="eastAsia"/>
          <w:b/>
          <w:bCs/>
          <w:color w:val="auto"/>
          <w:highlight w:val="none"/>
          <w:shd w:val="clear" w:color="auto" w:fill="auto"/>
          <w:lang w:val="en-US" w:eastAsia="zh-CN"/>
        </w:rPr>
        <w:t xml:space="preserve">7. </w:t>
      </w:r>
      <w:r>
        <w:rPr>
          <w:rFonts w:hint="eastAsia"/>
          <w:b/>
          <w:bCs/>
          <w:color w:val="auto"/>
          <w:highlight w:val="none"/>
          <w:u w:val="none"/>
          <w:shd w:val="clear" w:color="auto" w:fill="auto"/>
          <w:lang w:val="en-US" w:eastAsia="zh-CN"/>
        </w:rPr>
        <w:t>开拓入境旅游客源市场</w:t>
      </w:r>
      <w:r>
        <w:rPr>
          <w:rFonts w:hint="eastAsia"/>
          <w:color w:val="auto"/>
          <w:highlight w:val="none"/>
          <w:u w:val="none"/>
          <w:shd w:val="clear" w:color="auto" w:fill="auto"/>
          <w:lang w:val="en-US" w:eastAsia="zh-CN"/>
        </w:rPr>
        <w:t>。</w:t>
      </w:r>
      <w:r>
        <w:rPr>
          <w:color w:val="auto"/>
          <w:sz w:val="32"/>
          <w:szCs w:val="32"/>
          <w:shd w:val="clear" w:color="auto" w:fill="auto"/>
        </w:rPr>
        <w:t>对开展入境游业务的旅行社，年度入境过夜人天数≥1000人天的，给予最高50万元奖励。对等级旅游景区、研学旅行基地，年度接待入境游客人天数≥500人天的，给予最高15万元奖励。</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color w:val="auto"/>
          <w:sz w:val="32"/>
          <w:szCs w:val="32"/>
          <w:shd w:val="clear" w:color="auto" w:fill="auto"/>
        </w:rPr>
      </w:pPr>
      <w:r>
        <w:rPr>
          <w:rFonts w:hint="eastAsia"/>
          <w:b/>
          <w:bCs/>
          <w:color w:val="auto"/>
          <w:highlight w:val="none"/>
          <w:shd w:val="clear" w:color="auto" w:fill="auto"/>
          <w:lang w:val="en-US" w:eastAsia="zh-CN"/>
        </w:rPr>
        <w:t>8. 发展艺术品展示交易和版权新业态</w:t>
      </w:r>
      <w:r>
        <w:rPr>
          <w:rFonts w:hint="eastAsia"/>
          <w:color w:val="auto"/>
          <w:highlight w:val="none"/>
          <w:shd w:val="clear" w:color="auto" w:fill="auto"/>
          <w:lang w:val="en-US" w:eastAsia="zh-CN"/>
        </w:rPr>
        <w:t>。</w:t>
      </w:r>
      <w:r>
        <w:rPr>
          <w:color w:val="auto"/>
          <w:sz w:val="32"/>
          <w:szCs w:val="32"/>
          <w:shd w:val="clear" w:color="auto" w:fill="auto"/>
        </w:rPr>
        <w:t>支持搭建艺术品</w:t>
      </w:r>
      <w:r>
        <w:rPr>
          <w:rFonts w:hint="eastAsia"/>
          <w:color w:val="auto"/>
          <w:sz w:val="32"/>
          <w:szCs w:val="32"/>
          <w:shd w:val="clear" w:color="auto" w:fill="auto"/>
          <w:lang w:eastAsia="zh-CN"/>
        </w:rPr>
        <w:t>、</w:t>
      </w:r>
      <w:r>
        <w:rPr>
          <w:rFonts w:hint="eastAsia"/>
          <w:color w:val="auto"/>
          <w:sz w:val="32"/>
          <w:szCs w:val="32"/>
          <w:shd w:val="clear" w:color="auto" w:fill="auto"/>
          <w:lang w:val="en-US" w:eastAsia="zh-CN"/>
        </w:rPr>
        <w:t>版权</w:t>
      </w:r>
      <w:r>
        <w:rPr>
          <w:color w:val="auto"/>
          <w:sz w:val="32"/>
          <w:szCs w:val="32"/>
          <w:shd w:val="clear" w:color="auto" w:fill="auto"/>
        </w:rPr>
        <w:t>溯源</w:t>
      </w:r>
      <w:r>
        <w:rPr>
          <w:rFonts w:hint="eastAsia"/>
          <w:color w:val="auto"/>
          <w:sz w:val="32"/>
          <w:szCs w:val="32"/>
          <w:shd w:val="clear" w:color="auto" w:fill="auto"/>
          <w:lang w:val="en-US" w:eastAsia="zh-CN"/>
        </w:rPr>
        <w:t>体系</w:t>
      </w:r>
      <w:r>
        <w:rPr>
          <w:color w:val="auto"/>
          <w:sz w:val="32"/>
          <w:szCs w:val="32"/>
          <w:shd w:val="clear" w:color="auto" w:fill="auto"/>
        </w:rPr>
        <w:t>、在线交易平台、跨境电商平台，鼓励举办艺术品展览、直播拍卖、数字艺术品</w:t>
      </w:r>
      <w:r>
        <w:rPr>
          <w:rFonts w:hint="eastAsia"/>
          <w:color w:val="auto"/>
          <w:sz w:val="32"/>
          <w:szCs w:val="32"/>
          <w:shd w:val="clear" w:color="auto" w:fill="auto"/>
          <w:lang w:val="en-US" w:eastAsia="zh-CN"/>
        </w:rPr>
        <w:t>和版权</w:t>
      </w:r>
      <w:r>
        <w:rPr>
          <w:color w:val="auto"/>
          <w:sz w:val="32"/>
          <w:szCs w:val="32"/>
          <w:shd w:val="clear" w:color="auto" w:fill="auto"/>
        </w:rPr>
        <w:t>交易等</w:t>
      </w:r>
      <w:r>
        <w:rPr>
          <w:rFonts w:hint="eastAsia"/>
          <w:color w:val="auto"/>
          <w:sz w:val="32"/>
          <w:szCs w:val="32"/>
          <w:shd w:val="clear" w:color="auto" w:fill="auto"/>
          <w:lang w:val="en-US" w:eastAsia="zh-CN"/>
        </w:rPr>
        <w:t>活动</w:t>
      </w:r>
      <w:r>
        <w:rPr>
          <w:rFonts w:hint="eastAsia"/>
          <w:color w:val="auto"/>
          <w:highlight w:val="none"/>
          <w:shd w:val="clear" w:color="auto" w:fill="auto"/>
          <w:lang w:val="en-US" w:eastAsia="zh-CN"/>
        </w:rPr>
        <w:t>，</w:t>
      </w:r>
      <w:r>
        <w:rPr>
          <w:rFonts w:hint="eastAsia"/>
          <w:color w:val="auto"/>
          <w:sz w:val="32"/>
          <w:szCs w:val="32"/>
          <w:shd w:val="clear" w:color="auto" w:fill="auto"/>
          <w:lang w:val="en-US" w:eastAsia="zh-CN"/>
        </w:rPr>
        <w:t>对</w:t>
      </w:r>
      <w:r>
        <w:rPr>
          <w:rFonts w:ascii="Times New Roman" w:hAnsi="Times New Roman" w:cs="Times New Roman"/>
          <w:color w:val="auto"/>
          <w:sz w:val="32"/>
          <w:szCs w:val="32"/>
          <w:shd w:val="clear" w:color="auto" w:fill="auto"/>
        </w:rPr>
        <w:t>运营主体</w:t>
      </w:r>
      <w:r>
        <w:rPr>
          <w:rFonts w:hint="eastAsia" w:cs="Times New Roman"/>
          <w:color w:val="auto"/>
          <w:sz w:val="32"/>
          <w:szCs w:val="32"/>
          <w:shd w:val="clear" w:color="auto" w:fill="auto"/>
          <w:lang w:val="en-US" w:eastAsia="zh-CN"/>
        </w:rPr>
        <w:t>给予</w:t>
      </w:r>
      <w:r>
        <w:rPr>
          <w:color w:val="auto"/>
          <w:sz w:val="32"/>
          <w:szCs w:val="32"/>
          <w:shd w:val="clear" w:color="auto" w:fill="auto"/>
        </w:rPr>
        <w:t>最高50万元补助。</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color w:val="auto"/>
          <w:sz w:val="32"/>
          <w:szCs w:val="32"/>
          <w:shd w:val="clear" w:color="auto" w:fill="auto"/>
        </w:rPr>
      </w:pPr>
      <w:r>
        <w:rPr>
          <w:rFonts w:hint="eastAsia"/>
          <w:b/>
          <w:bCs/>
          <w:color w:val="auto"/>
          <w:highlight w:val="none"/>
          <w:u w:val="none"/>
          <w:shd w:val="clear" w:color="auto" w:fill="auto"/>
          <w:lang w:val="en-US" w:eastAsia="zh-CN"/>
        </w:rPr>
        <w:t xml:space="preserve">9. </w:t>
      </w:r>
      <w:r>
        <w:rPr>
          <w:rFonts w:hint="eastAsia"/>
          <w:b/>
          <w:bCs/>
          <w:color w:val="auto"/>
          <w:highlight w:val="none"/>
          <w:shd w:val="clear" w:color="auto" w:fill="auto"/>
          <w:lang w:val="en-US" w:eastAsia="zh-CN"/>
        </w:rPr>
        <w:t>支持举办重大行业活动。</w:t>
      </w:r>
      <w:r>
        <w:rPr>
          <w:color w:val="auto"/>
          <w:sz w:val="32"/>
          <w:szCs w:val="32"/>
          <w:shd w:val="clear" w:color="auto" w:fill="auto"/>
        </w:rPr>
        <w:t>对规模在100人以上，具有行业影响力的文体旅类会展、大赛、作品发布</w:t>
      </w:r>
      <w:r>
        <w:rPr>
          <w:rFonts w:hint="eastAsia"/>
          <w:color w:val="auto"/>
          <w:sz w:val="32"/>
          <w:szCs w:val="32"/>
          <w:shd w:val="clear" w:color="auto" w:fill="auto"/>
          <w:lang w:eastAsia="zh-CN"/>
        </w:rPr>
        <w:t>、</w:t>
      </w:r>
      <w:r>
        <w:rPr>
          <w:rFonts w:hint="eastAsia"/>
          <w:color w:val="auto"/>
          <w:sz w:val="32"/>
          <w:szCs w:val="32"/>
          <w:shd w:val="clear" w:color="auto" w:fill="auto"/>
          <w:lang w:val="en-US" w:eastAsia="zh-CN"/>
        </w:rPr>
        <w:t>行业培训</w:t>
      </w:r>
      <w:r>
        <w:rPr>
          <w:color w:val="auto"/>
          <w:sz w:val="32"/>
          <w:szCs w:val="32"/>
          <w:shd w:val="clear" w:color="auto" w:fill="auto"/>
        </w:rPr>
        <w:t>等行业活动，按不超过活动实际发生的餐饮、场租、搭建等直接费用（不含差旅、专家补贴、人员薪酬等间接费用）的50%给予补助</w:t>
      </w:r>
      <w:r>
        <w:rPr>
          <w:rFonts w:hint="eastAsia"/>
          <w:color w:val="auto"/>
          <w:sz w:val="32"/>
          <w:szCs w:val="32"/>
          <w:shd w:val="clear" w:color="auto" w:fill="auto"/>
          <w:lang w:eastAsia="zh-CN"/>
        </w:rPr>
        <w:t>。</w:t>
      </w:r>
      <w:r>
        <w:rPr>
          <w:color w:val="auto"/>
          <w:sz w:val="32"/>
          <w:szCs w:val="32"/>
          <w:shd w:val="clear" w:color="auto" w:fill="auto"/>
        </w:rPr>
        <w:t>同一市场主体年度补助上限为50万元。</w:t>
      </w:r>
      <w:bookmarkStart w:id="7" w:name="_GoBack"/>
      <w:bookmarkEnd w:id="7"/>
    </w:p>
    <w:bookmarkEnd w:id="1"/>
    <w:p>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0"/>
        <w:rPr>
          <w:rFonts w:hint="default" w:eastAsia="方正黑体_GBK" w:cs="Times New Roman"/>
          <w:bCs/>
          <w:kern w:val="44"/>
          <w:sz w:val="32"/>
          <w:szCs w:val="44"/>
          <w:lang w:val="en-US" w:eastAsia="zh-CN" w:bidi="ar-SA"/>
        </w:rPr>
      </w:pPr>
      <w:r>
        <w:rPr>
          <w:rFonts w:hint="eastAsia" w:eastAsia="方正黑体_GBK" w:cs="Times New Roman"/>
          <w:bCs/>
          <w:kern w:val="44"/>
          <w:sz w:val="32"/>
          <w:szCs w:val="44"/>
          <w:lang w:val="en-US" w:eastAsia="zh-CN" w:bidi="ar-SA"/>
        </w:rPr>
        <w:t>五、实施期限</w:t>
      </w:r>
    </w:p>
    <w:p>
      <w:pPr>
        <w:pStyle w:val="9"/>
        <w:keepNext w:val="0"/>
        <w:keepLines w:val="0"/>
        <w:pageBreakBefore w:val="0"/>
        <w:widowControl w:val="0"/>
        <w:kinsoku/>
        <w:wordWrap/>
        <w:overflowPunct/>
        <w:topLinePunct/>
        <w:autoSpaceDE/>
        <w:autoSpaceDN/>
        <w:bidi w:val="0"/>
        <w:adjustRightInd/>
        <w:snapToGrid/>
        <w:spacing w:after="0" w:line="560" w:lineRule="exact"/>
        <w:ind w:firstLine="640" w:firstLineChars="200"/>
        <w:textAlignment w:val="auto"/>
        <w:rPr>
          <w:rFonts w:hint="eastAsia"/>
          <w:color w:val="auto"/>
          <w:sz w:val="32"/>
          <w:szCs w:val="32"/>
          <w:shd w:val="clear" w:color="auto" w:fill="auto"/>
          <w:lang w:eastAsia="zh-CN"/>
        </w:rPr>
      </w:pPr>
      <w:r>
        <w:rPr>
          <w:rFonts w:hint="eastAsia"/>
          <w:color w:val="auto"/>
          <w:sz w:val="32"/>
          <w:szCs w:val="32"/>
          <w:shd w:val="clear" w:color="auto" w:fill="auto"/>
          <w:lang w:eastAsia="zh-CN"/>
        </w:rPr>
        <w:t>本政策计划自2026年</w:t>
      </w:r>
      <w:r>
        <w:rPr>
          <w:rFonts w:hint="eastAsia"/>
          <w:color w:val="auto"/>
          <w:sz w:val="32"/>
          <w:szCs w:val="32"/>
          <w:shd w:val="clear" w:color="auto" w:fill="auto"/>
          <w:lang w:val="en-US" w:eastAsia="zh-CN"/>
        </w:rPr>
        <w:t>7</w:t>
      </w:r>
      <w:r>
        <w:rPr>
          <w:rFonts w:hint="eastAsia"/>
          <w:color w:val="auto"/>
          <w:sz w:val="32"/>
          <w:szCs w:val="32"/>
          <w:shd w:val="clear" w:color="auto" w:fill="auto"/>
          <w:lang w:eastAsia="zh-CN"/>
        </w:rPr>
        <w:t>月1日起施行，有效期三年。实施期间如遇国家、省、市相关政策调整，按照上级新政策规定执行。</w:t>
      </w:r>
    </w:p>
    <w:p>
      <w:pPr>
        <w:pStyle w:val="2"/>
        <w:pageBreakBefore w:val="0"/>
        <w:kinsoku/>
        <w:wordWrap/>
        <w:overflowPunct/>
        <w:topLinePunct/>
        <w:bidi w:val="0"/>
        <w:rPr>
          <w:rFonts w:hint="eastAsia"/>
          <w:lang w:val="en-US" w:eastAsia="en-US"/>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egoe UI Emoji">
    <w:panose1 w:val="020B0502040204020203"/>
    <w:charset w:val="00"/>
    <w:family w:val="auto"/>
    <w:pitch w:val="default"/>
    <w:sig w:usb0="00000001"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821450"/>
    <w:multiLevelType w:val="singleLevel"/>
    <w:tmpl w:val="8D82145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NjU5OWI0OTAyMTdjNWIxNTM1MzEwZmExN2M4ZDIifQ=="/>
  </w:docVars>
  <w:rsids>
    <w:rsidRoot w:val="790E7A8C"/>
    <w:rsid w:val="02224692"/>
    <w:rsid w:val="02502671"/>
    <w:rsid w:val="02B20AED"/>
    <w:rsid w:val="04837B9E"/>
    <w:rsid w:val="08352F33"/>
    <w:rsid w:val="099940E7"/>
    <w:rsid w:val="09AA5444"/>
    <w:rsid w:val="0A3379CB"/>
    <w:rsid w:val="0A417009"/>
    <w:rsid w:val="1007157F"/>
    <w:rsid w:val="119E26E3"/>
    <w:rsid w:val="11A01E8B"/>
    <w:rsid w:val="12BE589F"/>
    <w:rsid w:val="13A963E2"/>
    <w:rsid w:val="17C75FB2"/>
    <w:rsid w:val="184C4FE7"/>
    <w:rsid w:val="1A5C7778"/>
    <w:rsid w:val="1C094D80"/>
    <w:rsid w:val="1C6E4A7A"/>
    <w:rsid w:val="1D1820F9"/>
    <w:rsid w:val="1DF041AC"/>
    <w:rsid w:val="22823666"/>
    <w:rsid w:val="23520A80"/>
    <w:rsid w:val="23D335CD"/>
    <w:rsid w:val="25C17A9D"/>
    <w:rsid w:val="27210AD8"/>
    <w:rsid w:val="27857372"/>
    <w:rsid w:val="298E6876"/>
    <w:rsid w:val="2AFB4EF3"/>
    <w:rsid w:val="2B8029B0"/>
    <w:rsid w:val="2BD068BD"/>
    <w:rsid w:val="2C03138C"/>
    <w:rsid w:val="2C552731"/>
    <w:rsid w:val="2DC6556C"/>
    <w:rsid w:val="2ED87DBB"/>
    <w:rsid w:val="2FF63190"/>
    <w:rsid w:val="2FFF2A13"/>
    <w:rsid w:val="30E738F1"/>
    <w:rsid w:val="321118B3"/>
    <w:rsid w:val="321A636E"/>
    <w:rsid w:val="33314A99"/>
    <w:rsid w:val="34525820"/>
    <w:rsid w:val="350C7411"/>
    <w:rsid w:val="364E137B"/>
    <w:rsid w:val="369EFFF8"/>
    <w:rsid w:val="37F457DC"/>
    <w:rsid w:val="381B046C"/>
    <w:rsid w:val="385B20D6"/>
    <w:rsid w:val="390E4A34"/>
    <w:rsid w:val="39325733"/>
    <w:rsid w:val="396E7A1D"/>
    <w:rsid w:val="3A860B92"/>
    <w:rsid w:val="3C314AB9"/>
    <w:rsid w:val="3CA458EE"/>
    <w:rsid w:val="3E806B82"/>
    <w:rsid w:val="3FCE3F29"/>
    <w:rsid w:val="425C352E"/>
    <w:rsid w:val="4347652F"/>
    <w:rsid w:val="43CB7831"/>
    <w:rsid w:val="4517473A"/>
    <w:rsid w:val="451969AE"/>
    <w:rsid w:val="453E0C6D"/>
    <w:rsid w:val="46146ADE"/>
    <w:rsid w:val="46B210AB"/>
    <w:rsid w:val="48020F60"/>
    <w:rsid w:val="481B79F9"/>
    <w:rsid w:val="49040D4D"/>
    <w:rsid w:val="49E11E6A"/>
    <w:rsid w:val="49E46B3C"/>
    <w:rsid w:val="4A4D7159"/>
    <w:rsid w:val="4A9455A9"/>
    <w:rsid w:val="4AB23407"/>
    <w:rsid w:val="4D951691"/>
    <w:rsid w:val="4EB55921"/>
    <w:rsid w:val="5357444A"/>
    <w:rsid w:val="54C12C6E"/>
    <w:rsid w:val="54FF6EA6"/>
    <w:rsid w:val="553F361D"/>
    <w:rsid w:val="55416F1A"/>
    <w:rsid w:val="55430EDB"/>
    <w:rsid w:val="56E3787E"/>
    <w:rsid w:val="57151399"/>
    <w:rsid w:val="572D3329"/>
    <w:rsid w:val="57E63ED2"/>
    <w:rsid w:val="59C539C1"/>
    <w:rsid w:val="5D41498A"/>
    <w:rsid w:val="5DAB5A82"/>
    <w:rsid w:val="5DCFADAD"/>
    <w:rsid w:val="5E6B706D"/>
    <w:rsid w:val="5F6E5721"/>
    <w:rsid w:val="6161118D"/>
    <w:rsid w:val="65CA3FBA"/>
    <w:rsid w:val="65E45988"/>
    <w:rsid w:val="678C1920"/>
    <w:rsid w:val="6898719B"/>
    <w:rsid w:val="6AC14B5B"/>
    <w:rsid w:val="6C9D5763"/>
    <w:rsid w:val="6ECD7671"/>
    <w:rsid w:val="6F206660"/>
    <w:rsid w:val="70761788"/>
    <w:rsid w:val="714C7519"/>
    <w:rsid w:val="73DA71EA"/>
    <w:rsid w:val="77834E3F"/>
    <w:rsid w:val="78093EF8"/>
    <w:rsid w:val="78195204"/>
    <w:rsid w:val="78814479"/>
    <w:rsid w:val="790E7A8C"/>
    <w:rsid w:val="791374B0"/>
    <w:rsid w:val="7C8415C1"/>
    <w:rsid w:val="F6EF6F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560" w:lineRule="exact"/>
      <w:ind w:firstLine="720" w:firstLineChars="200"/>
      <w:jc w:val="both"/>
      <w:textAlignment w:val="baseline"/>
    </w:pPr>
    <w:rPr>
      <w:rFonts w:ascii="Times New Roman" w:hAnsi="Times New Roman" w:eastAsia="方正仿宋_GBK" w:cs="方正楷体_GBK"/>
      <w:snapToGrid w:val="0"/>
      <w:color w:val="000000"/>
      <w:kern w:val="0"/>
      <w:sz w:val="32"/>
      <w:szCs w:val="32"/>
      <w:lang w:val="en-US" w:eastAsia="en-US" w:bidi="ar-SA"/>
    </w:rPr>
  </w:style>
  <w:style w:type="paragraph" w:styleId="3">
    <w:name w:val="heading 1"/>
    <w:basedOn w:val="1"/>
    <w:next w:val="1"/>
    <w:link w:val="13"/>
    <w:qFormat/>
    <w:uiPriority w:val="0"/>
    <w:pPr>
      <w:keepNext/>
      <w:keepLines/>
      <w:spacing w:beforeLines="0" w:beforeAutospacing="0" w:afterLines="0" w:afterAutospacing="0" w:line="560" w:lineRule="exact"/>
      <w:ind w:firstLine="0" w:firstLineChars="0"/>
      <w:jc w:val="center"/>
      <w:outlineLvl w:val="0"/>
    </w:pPr>
    <w:rPr>
      <w:rFonts w:ascii="Times New Roman" w:hAnsi="Times New Roman" w:eastAsia="方正小标宋_GBK"/>
      <w:kern w:val="44"/>
      <w:sz w:val="44"/>
      <w:szCs w:val="44"/>
    </w:rPr>
  </w:style>
  <w:style w:type="paragraph" w:styleId="2">
    <w:name w:val="heading 2"/>
    <w:basedOn w:val="1"/>
    <w:next w:val="1"/>
    <w:link w:val="14"/>
    <w:semiHidden/>
    <w:unhideWhenUsed/>
    <w:qFormat/>
    <w:uiPriority w:val="0"/>
    <w:pPr>
      <w:keepNext/>
      <w:keepLines/>
      <w:spacing w:beforeLines="0" w:beforeAutospacing="0" w:afterLines="0" w:afterAutospacing="0" w:line="560" w:lineRule="exact"/>
      <w:ind w:firstLine="640" w:firstLineChars="200"/>
      <w:outlineLvl w:val="1"/>
    </w:pPr>
    <w:rPr>
      <w:rFonts w:ascii="Times New Roman" w:hAnsi="Times New Roman" w:eastAsia="方正黑体_GBK"/>
    </w:rPr>
  </w:style>
  <w:style w:type="paragraph" w:styleId="4">
    <w:name w:val="heading 3"/>
    <w:basedOn w:val="1"/>
    <w:next w:val="1"/>
    <w:link w:val="15"/>
    <w:semiHidden/>
    <w:unhideWhenUsed/>
    <w:qFormat/>
    <w:uiPriority w:val="0"/>
    <w:pPr>
      <w:keepNext/>
      <w:keepLines/>
      <w:widowControl w:val="0"/>
      <w:suppressLineNumbers w:val="0"/>
      <w:spacing w:before="0" w:beforeLines="0" w:beforeAutospacing="0" w:after="0" w:afterLines="0" w:afterAutospacing="0" w:line="560" w:lineRule="exact"/>
      <w:ind w:firstLine="640" w:firstLineChars="200"/>
      <w:jc w:val="both"/>
      <w:outlineLvl w:val="2"/>
    </w:pPr>
    <w:rPr>
      <w:rFonts w:ascii="Times New Roman" w:hAnsi="Times New Roman" w:eastAsia="方正楷体_GBK" w:cs="Times New Roman"/>
      <w:sz w:val="32"/>
      <w:szCs w:val="24"/>
      <w:lang w:bidi="ar"/>
    </w:rPr>
  </w:style>
  <w:style w:type="paragraph" w:styleId="5">
    <w:name w:val="heading 4"/>
    <w:basedOn w:val="1"/>
    <w:next w:val="6"/>
    <w:semiHidden/>
    <w:unhideWhenUsed/>
    <w:qFormat/>
    <w:uiPriority w:val="0"/>
    <w:pPr>
      <w:keepNext/>
      <w:keepLines/>
      <w:spacing w:beforeLines="0" w:beforeAutospacing="0" w:afterLines="0" w:afterAutospacing="0" w:line="560" w:lineRule="exact"/>
      <w:outlineLvl w:val="3"/>
    </w:pPr>
    <w:rPr>
      <w:rFonts w:ascii="Times New Roman" w:hAnsi="Times New Roman"/>
      <w:b/>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w:basedOn w:val="1"/>
    <w:link w:val="17"/>
    <w:qFormat/>
    <w:uiPriority w:val="0"/>
    <w:pPr>
      <w:spacing w:afterLines="0" w:afterAutospacing="0"/>
    </w:pPr>
    <w:rPr>
      <w:rFonts w:ascii="Times New Roman" w:hAnsi="Times New Roman"/>
    </w:rPr>
  </w:style>
  <w:style w:type="paragraph" w:styleId="8">
    <w:name w:val="Body Text Indent 2"/>
    <w:basedOn w:val="1"/>
    <w:next w:val="7"/>
    <w:qFormat/>
    <w:uiPriority w:val="0"/>
    <w:pPr>
      <w:spacing w:afterLines="0" w:afterAutospacing="0" w:line="560" w:lineRule="exact"/>
      <w:ind w:left="0" w:leftChars="0"/>
    </w:pPr>
  </w:style>
  <w:style w:type="paragraph" w:styleId="9">
    <w:name w:val="Body Text First Indent"/>
    <w:basedOn w:val="7"/>
    <w:qFormat/>
    <w:uiPriority w:val="0"/>
    <w:pPr>
      <w:ind w:firstLine="420" w:firstLineChars="100"/>
    </w:pPr>
  </w:style>
  <w:style w:type="character" w:styleId="12">
    <w:name w:val="Strong"/>
    <w:basedOn w:val="11"/>
    <w:qFormat/>
    <w:uiPriority w:val="0"/>
    <w:rPr>
      <w:b/>
    </w:rPr>
  </w:style>
  <w:style w:type="character" w:customStyle="1" w:styleId="13">
    <w:name w:val="标题 1 Char"/>
    <w:link w:val="3"/>
    <w:qFormat/>
    <w:uiPriority w:val="0"/>
    <w:rPr>
      <w:rFonts w:ascii="Times New Roman" w:hAnsi="Times New Roman" w:eastAsia="方正小标宋_GBK"/>
      <w:kern w:val="44"/>
      <w:sz w:val="44"/>
      <w:szCs w:val="44"/>
    </w:rPr>
  </w:style>
  <w:style w:type="character" w:customStyle="1" w:styleId="14">
    <w:name w:val="标题 2 Char"/>
    <w:link w:val="2"/>
    <w:qFormat/>
    <w:uiPriority w:val="0"/>
    <w:rPr>
      <w:rFonts w:ascii="Times New Roman" w:hAnsi="Times New Roman" w:eastAsia="方正黑体_GBK" w:cs="方正仿宋_GBK"/>
      <w:snapToGrid w:val="0"/>
      <w:color w:val="000000"/>
      <w:kern w:val="0"/>
      <w:sz w:val="32"/>
      <w:szCs w:val="32"/>
    </w:rPr>
  </w:style>
  <w:style w:type="character" w:customStyle="1" w:styleId="15">
    <w:name w:val="标题 3 Char"/>
    <w:link w:val="4"/>
    <w:qFormat/>
    <w:uiPriority w:val="0"/>
    <w:rPr>
      <w:rFonts w:ascii="Times New Roman" w:hAnsi="Times New Roman" w:eastAsia="方正楷体_GBK" w:cs="Times New Roman"/>
      <w:kern w:val="2"/>
      <w:szCs w:val="24"/>
      <w:lang w:val="en-US" w:eastAsia="zh-CN" w:bidi="ar"/>
    </w:rPr>
  </w:style>
  <w:style w:type="paragraph" w:customStyle="1" w:styleId="16">
    <w:name w:val="WPSOffice手动目录 2"/>
    <w:qFormat/>
    <w:uiPriority w:val="0"/>
    <w:pPr>
      <w:ind w:leftChars="200"/>
    </w:pPr>
    <w:rPr>
      <w:rFonts w:ascii="Times New Roman" w:hAnsi="Times New Roman" w:eastAsia="方正仿宋_GBK" w:cs="Times New Roman"/>
      <w:sz w:val="21"/>
      <w:szCs w:val="20"/>
    </w:rPr>
  </w:style>
  <w:style w:type="character" w:customStyle="1" w:styleId="17">
    <w:name w:val="正文文本 Char"/>
    <w:link w:val="7"/>
    <w:qFormat/>
    <w:uiPriority w:val="0"/>
    <w:rPr>
      <w:rFonts w:ascii="Times New Roman" w:hAnsi="Times New Roman" w:eastAsia="方正仿宋_GBK"/>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1847</Words>
  <Characters>1865</Characters>
  <Lines>0</Lines>
  <Paragraphs>0</Paragraphs>
  <TotalTime>2</TotalTime>
  <ScaleCrop>false</ScaleCrop>
  <LinksUpToDate>false</LinksUpToDate>
  <CharactersWithSpaces>1865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2024-10-15T22:27:00Z</dcterms:created>
  <dc:creator>嫣♕然</dc:creator>
  <cp:lastModifiedBy>王成（宣传部）</cp:lastModifiedBy>
  <dcterms:modified xsi:type="dcterms:W3CDTF">2026-05-15T03:14:11Z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0E3F09D2FF4B85E6B85F16678EF2DFF0_43</vt:lpwstr>
  </property>
</Properties>
</file>