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B740A4">
      <w:pPr>
        <w:pStyle w:val="61"/>
        <w:rPr>
          <w:rFonts w:hint="eastAsia" w:ascii="宋体" w:hAnsi="宋体" w:cs="宋体"/>
        </w:rPr>
      </w:pPr>
    </w:p>
    <w:p w14:paraId="18E77800">
      <w:pPr>
        <w:pStyle w:val="61"/>
        <w:rPr>
          <w:rFonts w:hint="eastAsia" w:ascii="宋体" w:hAnsi="宋体" w:cs="宋体"/>
        </w:rPr>
      </w:pPr>
    </w:p>
    <w:p w14:paraId="5D8F0355">
      <w:pPr>
        <w:widowControl/>
        <w:shd w:val="clear" w:color="auto" w:fill="FFFFFF"/>
        <w:spacing w:line="360" w:lineRule="auto"/>
        <w:jc w:val="center"/>
        <w:rPr>
          <w:rFonts w:hint="eastAsia" w:ascii="宋体" w:hAnsi="宋体" w:cs="宋体"/>
          <w:b/>
          <w:spacing w:val="-20"/>
          <w:sz w:val="48"/>
          <w:szCs w:val="48"/>
        </w:rPr>
      </w:pPr>
    </w:p>
    <w:p w14:paraId="11950448">
      <w:pPr>
        <w:widowControl/>
        <w:shd w:val="clear" w:color="auto" w:fill="FFFFFF"/>
        <w:spacing w:line="360" w:lineRule="auto"/>
        <w:jc w:val="center"/>
        <w:rPr>
          <w:rFonts w:hint="eastAsia" w:ascii="宋体" w:hAnsi="宋体" w:eastAsia="宋体" w:cs="宋体"/>
          <w:b/>
          <w:kern w:val="0"/>
          <w:sz w:val="44"/>
          <w:szCs w:val="44"/>
          <w:lang w:eastAsia="zh-CN"/>
        </w:rPr>
      </w:pPr>
      <w:r>
        <w:rPr>
          <w:rFonts w:hint="eastAsia" w:ascii="宋体" w:hAnsi="宋体" w:cs="宋体"/>
          <w:b/>
          <w:sz w:val="44"/>
          <w:szCs w:val="44"/>
          <w:lang w:eastAsia="zh-CN"/>
        </w:rPr>
        <w:t>2026年浦口区</w:t>
      </w:r>
      <w:r>
        <w:rPr>
          <w:rFonts w:hint="eastAsia" w:ascii="宋体" w:hAnsi="宋体" w:cs="宋体"/>
          <w:b/>
          <w:sz w:val="44"/>
          <w:szCs w:val="44"/>
          <w:lang w:val="en-US" w:eastAsia="zh-CN"/>
        </w:rPr>
        <w:t>市场监管局</w:t>
      </w:r>
      <w:r>
        <w:rPr>
          <w:rFonts w:hint="eastAsia" w:ascii="宋体" w:hAnsi="宋体" w:cs="宋体"/>
          <w:b/>
          <w:sz w:val="44"/>
          <w:szCs w:val="44"/>
          <w:lang w:eastAsia="zh-CN"/>
        </w:rPr>
        <w:t>农贸市场和商超快检室食品安全快速检测及相关服务项目</w:t>
      </w:r>
    </w:p>
    <w:p w14:paraId="7CA77DF0">
      <w:pPr>
        <w:pStyle w:val="18"/>
      </w:pPr>
    </w:p>
    <w:p w14:paraId="4F1B8160">
      <w:pPr>
        <w:pStyle w:val="18"/>
      </w:pPr>
    </w:p>
    <w:p w14:paraId="71C9B070">
      <w:pPr>
        <w:pStyle w:val="41"/>
        <w:rPr>
          <w:rFonts w:hint="eastAsia" w:cs="宋体"/>
        </w:rPr>
      </w:pPr>
    </w:p>
    <w:p w14:paraId="7CD18842">
      <w:pPr>
        <w:pStyle w:val="41"/>
        <w:rPr>
          <w:rFonts w:hint="eastAsia" w:cs="宋体"/>
        </w:rPr>
      </w:pPr>
    </w:p>
    <w:p w14:paraId="75EF036D">
      <w:pPr>
        <w:pStyle w:val="41"/>
        <w:rPr>
          <w:rFonts w:hint="eastAsia" w:cs="宋体"/>
        </w:rPr>
      </w:pPr>
    </w:p>
    <w:p w14:paraId="1D80A65D">
      <w:pPr>
        <w:pStyle w:val="41"/>
        <w:rPr>
          <w:rFonts w:hint="eastAsia" w:cs="宋体"/>
        </w:rPr>
      </w:pPr>
    </w:p>
    <w:p w14:paraId="70FC0AF0">
      <w:pPr>
        <w:widowControl/>
        <w:spacing w:line="360" w:lineRule="auto"/>
        <w:jc w:val="center"/>
        <w:rPr>
          <w:rFonts w:hint="eastAsia" w:ascii="宋体" w:hAnsi="宋体" w:cs="宋体"/>
          <w:b/>
          <w:kern w:val="0"/>
          <w:sz w:val="72"/>
          <w:szCs w:val="72"/>
        </w:rPr>
      </w:pPr>
      <w:r>
        <w:rPr>
          <w:rFonts w:hint="eastAsia" w:ascii="宋体" w:hAnsi="宋体" w:cs="宋体"/>
          <w:b/>
          <w:kern w:val="0"/>
          <w:sz w:val="72"/>
          <w:szCs w:val="72"/>
        </w:rPr>
        <w:t>招标文件</w:t>
      </w:r>
    </w:p>
    <w:p w14:paraId="114FD83E">
      <w:pPr>
        <w:widowControl/>
        <w:spacing w:line="360" w:lineRule="auto"/>
        <w:jc w:val="center"/>
        <w:rPr>
          <w:rFonts w:hint="eastAsia" w:ascii="宋体" w:hAnsi="宋体" w:cs="宋体"/>
          <w:b/>
          <w:kern w:val="0"/>
          <w:sz w:val="72"/>
          <w:szCs w:val="72"/>
        </w:rPr>
      </w:pPr>
      <w:r>
        <w:rPr>
          <w:rFonts w:hint="eastAsia" w:ascii="宋体" w:hAnsi="宋体" w:cs="宋体"/>
          <w:b/>
          <w:kern w:val="0"/>
          <w:sz w:val="36"/>
          <w:szCs w:val="36"/>
        </w:rPr>
        <w:t>项目编号：</w:t>
      </w:r>
      <w:r>
        <w:rPr>
          <w:rFonts w:hint="eastAsia" w:ascii="宋体" w:hAnsi="宋体" w:cs="宋体"/>
          <w:b/>
          <w:kern w:val="0"/>
          <w:sz w:val="36"/>
          <w:szCs w:val="36"/>
          <w:lang w:eastAsia="zh-CN"/>
        </w:rPr>
        <w:t>XXXXX</w:t>
      </w:r>
      <w:r>
        <w:rPr>
          <w:rFonts w:ascii="宋体" w:hAnsi="宋体" w:cs="宋体"/>
          <w:b/>
          <w:kern w:val="0"/>
          <w:sz w:val="36"/>
          <w:szCs w:val="36"/>
        </w:rPr>
        <w:tab/>
      </w:r>
    </w:p>
    <w:p w14:paraId="6843A9FA">
      <w:pPr>
        <w:widowControl/>
        <w:spacing w:line="360" w:lineRule="auto"/>
        <w:jc w:val="both"/>
        <w:rPr>
          <w:rFonts w:hint="eastAsia" w:ascii="宋体" w:hAnsi="宋体" w:cs="宋体"/>
          <w:b/>
          <w:kern w:val="0"/>
          <w:sz w:val="72"/>
          <w:szCs w:val="72"/>
        </w:rPr>
      </w:pPr>
    </w:p>
    <w:p w14:paraId="46948ED3">
      <w:pPr>
        <w:widowControl/>
        <w:spacing w:line="360" w:lineRule="auto"/>
        <w:jc w:val="center"/>
        <w:rPr>
          <w:rFonts w:hint="eastAsia" w:ascii="宋体" w:hAnsi="宋体" w:cs="宋体"/>
          <w:b/>
          <w:kern w:val="0"/>
          <w:sz w:val="72"/>
          <w:szCs w:val="72"/>
        </w:rPr>
      </w:pPr>
    </w:p>
    <w:p w14:paraId="3CCCEF36">
      <w:pPr>
        <w:pStyle w:val="18"/>
      </w:pPr>
    </w:p>
    <w:p w14:paraId="0A3C5B62">
      <w:pPr>
        <w:widowControl/>
        <w:spacing w:line="360" w:lineRule="auto"/>
        <w:jc w:val="center"/>
        <w:rPr>
          <w:rFonts w:hint="eastAsia" w:ascii="宋体" w:hAnsi="宋体" w:eastAsia="宋体" w:cs="宋体"/>
          <w:b/>
          <w:kern w:val="0"/>
          <w:sz w:val="32"/>
          <w:szCs w:val="32"/>
          <w:lang w:eastAsia="zh-CN"/>
        </w:rPr>
      </w:pPr>
      <w:r>
        <w:rPr>
          <w:rFonts w:hint="eastAsia" w:ascii="宋体" w:hAnsi="宋体" w:cs="宋体"/>
          <w:b/>
          <w:kern w:val="0"/>
          <w:sz w:val="32"/>
          <w:szCs w:val="32"/>
        </w:rPr>
        <w:t>采购人：</w:t>
      </w:r>
      <w:r>
        <w:rPr>
          <w:rFonts w:hint="eastAsia" w:ascii="宋体" w:hAnsi="宋体" w:cs="宋体"/>
          <w:b/>
          <w:kern w:val="0"/>
          <w:sz w:val="32"/>
          <w:szCs w:val="32"/>
          <w:lang w:eastAsia="zh-CN"/>
        </w:rPr>
        <w:t>南京市浦口区市场监督管理局</w:t>
      </w:r>
    </w:p>
    <w:p w14:paraId="610AA147">
      <w:pPr>
        <w:widowControl/>
        <w:spacing w:line="360" w:lineRule="auto"/>
        <w:jc w:val="center"/>
        <w:rPr>
          <w:rFonts w:hint="eastAsia" w:ascii="宋体" w:hAnsi="宋体" w:cs="宋体"/>
          <w:b/>
          <w:kern w:val="0"/>
          <w:sz w:val="32"/>
          <w:szCs w:val="32"/>
        </w:rPr>
      </w:pPr>
      <w:r>
        <w:rPr>
          <w:rFonts w:hint="eastAsia" w:ascii="宋体" w:hAnsi="宋体" w:cs="宋体"/>
          <w:b/>
          <w:kern w:val="0"/>
          <w:sz w:val="32"/>
          <w:szCs w:val="32"/>
        </w:rPr>
        <w:t>采购代理机构：江苏省设备成套股份有限公司</w:t>
      </w:r>
    </w:p>
    <w:p w14:paraId="5DA5DB48">
      <w:pPr>
        <w:widowControl/>
        <w:shd w:val="clear" w:color="auto" w:fill="FFFFFF"/>
        <w:spacing w:line="360" w:lineRule="auto"/>
        <w:jc w:val="center"/>
        <w:rPr>
          <w:rFonts w:hint="eastAsia" w:ascii="宋体" w:hAnsi="宋体" w:cs="宋体"/>
          <w:b/>
          <w:kern w:val="0"/>
          <w:sz w:val="32"/>
          <w:szCs w:val="32"/>
        </w:rPr>
      </w:pPr>
      <w:r>
        <w:rPr>
          <w:rFonts w:hint="eastAsia" w:ascii="宋体" w:hAnsi="宋体" w:cs="宋体"/>
          <w:b/>
          <w:kern w:val="0"/>
          <w:sz w:val="32"/>
          <w:szCs w:val="32"/>
        </w:rPr>
        <w:t>202</w:t>
      </w:r>
      <w:r>
        <w:rPr>
          <w:rFonts w:hint="eastAsia" w:ascii="宋体" w:hAnsi="宋体" w:cs="宋体"/>
          <w:b/>
          <w:kern w:val="0"/>
          <w:sz w:val="32"/>
          <w:szCs w:val="32"/>
          <w:lang w:val="en-US" w:eastAsia="zh-CN"/>
        </w:rPr>
        <w:t>6</w:t>
      </w:r>
      <w:r>
        <w:rPr>
          <w:rFonts w:hint="eastAsia" w:ascii="宋体" w:hAnsi="宋体" w:cs="宋体"/>
          <w:b/>
          <w:kern w:val="0"/>
          <w:sz w:val="32"/>
          <w:szCs w:val="32"/>
        </w:rPr>
        <w:t>年</w:t>
      </w:r>
      <w:r>
        <w:rPr>
          <w:rFonts w:hint="eastAsia" w:ascii="宋体" w:hAnsi="宋体" w:cs="宋体"/>
          <w:b/>
          <w:kern w:val="0"/>
          <w:sz w:val="32"/>
          <w:szCs w:val="32"/>
          <w:lang w:val="en-US" w:eastAsia="zh-CN"/>
        </w:rPr>
        <w:t>5</w:t>
      </w:r>
      <w:r>
        <w:rPr>
          <w:rFonts w:hint="eastAsia" w:ascii="宋体" w:hAnsi="宋体" w:cs="宋体"/>
          <w:b/>
          <w:kern w:val="0"/>
          <w:sz w:val="32"/>
          <w:szCs w:val="32"/>
        </w:rPr>
        <w:t>月</w:t>
      </w:r>
    </w:p>
    <w:p w14:paraId="63DF9F49">
      <w:pPr>
        <w:pStyle w:val="56"/>
        <w:rPr>
          <w:rFonts w:hint="eastAsia"/>
        </w:rPr>
      </w:pPr>
    </w:p>
    <w:p w14:paraId="7FA3D30F">
      <w:pPr>
        <w:pStyle w:val="164"/>
        <w:jc w:val="center"/>
        <w:rPr>
          <w:rFonts w:hint="eastAsia" w:ascii="宋体" w:hAnsi="宋体" w:cs="宋体"/>
          <w:color w:val="auto"/>
          <w:sz w:val="36"/>
          <w:szCs w:val="36"/>
          <w:lang w:val="zh-CN"/>
        </w:rPr>
        <w:sectPr>
          <w:footerReference r:id="rId3" w:type="default"/>
          <w:endnotePr>
            <w:numFmt w:val="decimal"/>
          </w:endnotePr>
          <w:pgSz w:w="11906" w:h="16838"/>
          <w:pgMar w:top="850" w:right="850" w:bottom="850" w:left="1418" w:header="227" w:footer="720" w:gutter="0"/>
          <w:cols w:space="720" w:num="1"/>
        </w:sectPr>
      </w:pPr>
    </w:p>
    <w:p w14:paraId="7B53C842">
      <w:pPr>
        <w:pStyle w:val="164"/>
        <w:jc w:val="center"/>
        <w:rPr>
          <w:rFonts w:hint="eastAsia" w:ascii="宋体" w:hAnsi="宋体" w:cs="宋体"/>
          <w:color w:val="auto"/>
          <w:sz w:val="36"/>
          <w:szCs w:val="36"/>
        </w:rPr>
      </w:pPr>
      <w:r>
        <w:rPr>
          <w:rFonts w:hint="eastAsia" w:ascii="宋体" w:hAnsi="宋体" w:cs="宋体"/>
          <w:color w:val="auto"/>
          <w:sz w:val="36"/>
          <w:szCs w:val="36"/>
          <w:lang w:val="zh-CN"/>
        </w:rPr>
        <w:t>目录</w:t>
      </w:r>
    </w:p>
    <w:p w14:paraId="56568FD9">
      <w:pPr>
        <w:pStyle w:val="31"/>
        <w:tabs>
          <w:tab w:val="right" w:leader="dot" w:pos="8296"/>
        </w:tabs>
        <w:rPr>
          <w:rFonts w:hint="eastAsia" w:ascii="宋体" w:hAnsi="宋体" w:cs="宋体"/>
          <w:sz w:val="28"/>
          <w:szCs w:val="28"/>
        </w:rPr>
      </w:pPr>
    </w:p>
    <w:p w14:paraId="0AB25071">
      <w:pPr>
        <w:pStyle w:val="31"/>
        <w:tabs>
          <w:tab w:val="right" w:leader="dot" w:pos="9638"/>
        </w:tabs>
      </w:pPr>
      <w:r>
        <w:rPr>
          <w:rFonts w:hint="eastAsia" w:ascii="宋体" w:hAnsi="宋体" w:cs="宋体"/>
          <w:sz w:val="24"/>
        </w:rPr>
        <w:fldChar w:fldCharType="begin"/>
      </w:r>
      <w:r>
        <w:rPr>
          <w:rFonts w:hint="eastAsia" w:ascii="宋体" w:hAnsi="宋体" w:cs="宋体"/>
          <w:sz w:val="24"/>
        </w:rPr>
        <w:instrText xml:space="preserve">TOC \o "1-1" \h \u </w:instrText>
      </w:r>
      <w:r>
        <w:rPr>
          <w:rFonts w:hint="eastAsia" w:ascii="宋体" w:hAnsi="宋体" w:cs="宋体"/>
          <w:sz w:val="24"/>
        </w:rPr>
        <w:fldChar w:fldCharType="separate"/>
      </w:r>
      <w:r>
        <w:rPr>
          <w:rFonts w:hint="eastAsia" w:ascii="宋体" w:hAnsi="宋体" w:cs="宋体"/>
        </w:rPr>
        <w:fldChar w:fldCharType="begin"/>
      </w:r>
      <w:r>
        <w:rPr>
          <w:rFonts w:hint="eastAsia" w:ascii="宋体" w:hAnsi="宋体" w:cs="宋体"/>
        </w:rPr>
        <w:instrText xml:space="preserve"> HYPERLINK \l _Toc19842 </w:instrText>
      </w:r>
      <w:r>
        <w:rPr>
          <w:rFonts w:hint="eastAsia" w:ascii="宋体" w:hAnsi="宋体" w:cs="宋体"/>
        </w:rPr>
        <w:fldChar w:fldCharType="separate"/>
      </w:r>
      <w:r>
        <w:rPr>
          <w:rFonts w:hint="eastAsia" w:ascii="宋体" w:hAnsi="宋体" w:cs="宋体"/>
          <w:kern w:val="0"/>
          <w:szCs w:val="21"/>
        </w:rPr>
        <w:t>第一章</w:t>
      </w:r>
      <w:r>
        <w:rPr>
          <w:rFonts w:hint="eastAsia" w:ascii="宋体" w:hAnsi="宋体" w:cs="宋体"/>
        </w:rPr>
        <w:t xml:space="preserve"> 招标公告</w:t>
      </w:r>
      <w:r>
        <w:tab/>
      </w:r>
      <w:r>
        <w:fldChar w:fldCharType="begin"/>
      </w:r>
      <w:r>
        <w:instrText xml:space="preserve"> PAGEREF _Toc19842 \h </w:instrText>
      </w:r>
      <w:r>
        <w:fldChar w:fldCharType="separate"/>
      </w:r>
      <w:r>
        <w:t>2</w:t>
      </w:r>
      <w:r>
        <w:fldChar w:fldCharType="end"/>
      </w:r>
      <w:r>
        <w:rPr>
          <w:rFonts w:hint="eastAsia" w:ascii="宋体" w:hAnsi="宋体" w:cs="宋体"/>
        </w:rPr>
        <w:fldChar w:fldCharType="end"/>
      </w:r>
    </w:p>
    <w:p w14:paraId="340AC687">
      <w:pPr>
        <w:pStyle w:val="31"/>
        <w:tabs>
          <w:tab w:val="right" w:leader="dot" w:pos="9638"/>
        </w:tabs>
      </w:pPr>
      <w:r>
        <w:rPr>
          <w:rFonts w:hint="eastAsia" w:ascii="宋体" w:hAnsi="宋体" w:cs="宋体"/>
        </w:rPr>
        <w:fldChar w:fldCharType="begin"/>
      </w:r>
      <w:r>
        <w:rPr>
          <w:rFonts w:hint="eastAsia" w:ascii="宋体" w:hAnsi="宋体" w:cs="宋体"/>
        </w:rPr>
        <w:instrText xml:space="preserve"> HYPERLINK \l _Toc2989 </w:instrText>
      </w:r>
      <w:r>
        <w:rPr>
          <w:rFonts w:hint="eastAsia" w:ascii="宋体" w:hAnsi="宋体" w:cs="宋体"/>
        </w:rPr>
        <w:fldChar w:fldCharType="separate"/>
      </w:r>
      <w:r>
        <w:rPr>
          <w:rFonts w:hint="eastAsia" w:ascii="宋体" w:hAnsi="宋体" w:cs="宋体"/>
        </w:rPr>
        <w:t>第二章 投标人须知</w:t>
      </w:r>
      <w:r>
        <w:tab/>
      </w:r>
      <w:r>
        <w:fldChar w:fldCharType="begin"/>
      </w:r>
      <w:r>
        <w:instrText xml:space="preserve"> PAGEREF _Toc2989 \h </w:instrText>
      </w:r>
      <w:r>
        <w:fldChar w:fldCharType="separate"/>
      </w:r>
      <w:r>
        <w:t>6</w:t>
      </w:r>
      <w:r>
        <w:fldChar w:fldCharType="end"/>
      </w:r>
      <w:r>
        <w:rPr>
          <w:rFonts w:hint="eastAsia" w:ascii="宋体" w:hAnsi="宋体" w:cs="宋体"/>
        </w:rPr>
        <w:fldChar w:fldCharType="end"/>
      </w:r>
    </w:p>
    <w:p w14:paraId="00BF9EBD">
      <w:pPr>
        <w:pStyle w:val="31"/>
        <w:tabs>
          <w:tab w:val="right" w:leader="dot" w:pos="9638"/>
        </w:tabs>
      </w:pPr>
      <w:r>
        <w:rPr>
          <w:rFonts w:hint="eastAsia" w:ascii="宋体" w:hAnsi="宋体" w:cs="宋体"/>
        </w:rPr>
        <w:fldChar w:fldCharType="begin"/>
      </w:r>
      <w:r>
        <w:rPr>
          <w:rFonts w:hint="eastAsia" w:ascii="宋体" w:hAnsi="宋体" w:cs="宋体"/>
        </w:rPr>
        <w:instrText xml:space="preserve"> HYPERLINK \l _Toc15715 </w:instrText>
      </w:r>
      <w:r>
        <w:rPr>
          <w:rFonts w:hint="eastAsia" w:ascii="宋体" w:hAnsi="宋体" w:cs="宋体"/>
        </w:rPr>
        <w:fldChar w:fldCharType="separate"/>
      </w:r>
      <w:r>
        <w:rPr>
          <w:rFonts w:hint="eastAsia" w:ascii="宋体" w:hAnsi="宋体" w:cs="宋体"/>
        </w:rPr>
        <w:t>第三章 评标标准</w:t>
      </w:r>
      <w:r>
        <w:tab/>
      </w:r>
      <w:r>
        <w:fldChar w:fldCharType="begin"/>
      </w:r>
      <w:r>
        <w:instrText xml:space="preserve"> PAGEREF _Toc15715 \h </w:instrText>
      </w:r>
      <w:r>
        <w:fldChar w:fldCharType="separate"/>
      </w:r>
      <w:r>
        <w:t>19</w:t>
      </w:r>
      <w:r>
        <w:fldChar w:fldCharType="end"/>
      </w:r>
      <w:r>
        <w:rPr>
          <w:rFonts w:hint="eastAsia" w:ascii="宋体" w:hAnsi="宋体" w:cs="宋体"/>
        </w:rPr>
        <w:fldChar w:fldCharType="end"/>
      </w:r>
    </w:p>
    <w:p w14:paraId="0C1B39CE">
      <w:pPr>
        <w:pStyle w:val="31"/>
        <w:tabs>
          <w:tab w:val="right" w:leader="dot" w:pos="9638"/>
        </w:tabs>
      </w:pPr>
      <w:r>
        <w:rPr>
          <w:rFonts w:hint="eastAsia" w:ascii="宋体" w:hAnsi="宋体" w:cs="宋体"/>
        </w:rPr>
        <w:fldChar w:fldCharType="begin"/>
      </w:r>
      <w:r>
        <w:rPr>
          <w:rFonts w:hint="eastAsia" w:ascii="宋体" w:hAnsi="宋体" w:cs="宋体"/>
        </w:rPr>
        <w:instrText xml:space="preserve"> HYPERLINK \l _Toc21966 </w:instrText>
      </w:r>
      <w:r>
        <w:rPr>
          <w:rFonts w:hint="eastAsia" w:ascii="宋体" w:hAnsi="宋体" w:cs="宋体"/>
        </w:rPr>
        <w:fldChar w:fldCharType="separate"/>
      </w:r>
      <w:r>
        <w:rPr>
          <w:rFonts w:hint="eastAsia" w:ascii="宋体" w:hAnsi="宋体" w:cs="宋体"/>
        </w:rPr>
        <w:t>第四章 采购需求</w:t>
      </w:r>
      <w:r>
        <w:tab/>
      </w:r>
      <w:r>
        <w:fldChar w:fldCharType="begin"/>
      </w:r>
      <w:r>
        <w:instrText xml:space="preserve"> PAGEREF _Toc21966 \h </w:instrText>
      </w:r>
      <w:r>
        <w:fldChar w:fldCharType="separate"/>
      </w:r>
      <w:r>
        <w:t>22</w:t>
      </w:r>
      <w:r>
        <w:fldChar w:fldCharType="end"/>
      </w:r>
      <w:r>
        <w:rPr>
          <w:rFonts w:hint="eastAsia" w:ascii="宋体" w:hAnsi="宋体" w:cs="宋体"/>
        </w:rPr>
        <w:fldChar w:fldCharType="end"/>
      </w:r>
    </w:p>
    <w:p w14:paraId="009EE4BB">
      <w:pPr>
        <w:pStyle w:val="31"/>
        <w:tabs>
          <w:tab w:val="right" w:leader="dot" w:pos="9638"/>
        </w:tabs>
      </w:pPr>
      <w:r>
        <w:rPr>
          <w:rFonts w:hint="eastAsia" w:ascii="宋体" w:hAnsi="宋体" w:cs="宋体"/>
        </w:rPr>
        <w:fldChar w:fldCharType="begin"/>
      </w:r>
      <w:r>
        <w:rPr>
          <w:rFonts w:hint="eastAsia" w:ascii="宋体" w:hAnsi="宋体" w:cs="宋体"/>
        </w:rPr>
        <w:instrText xml:space="preserve"> HYPERLINK \l _Toc27993 </w:instrText>
      </w:r>
      <w:r>
        <w:rPr>
          <w:rFonts w:hint="eastAsia" w:ascii="宋体" w:hAnsi="宋体" w:cs="宋体"/>
        </w:rPr>
        <w:fldChar w:fldCharType="separate"/>
      </w:r>
      <w:r>
        <w:rPr>
          <w:rFonts w:hint="eastAsia" w:ascii="宋体" w:hAnsi="宋体" w:cs="宋体"/>
        </w:rPr>
        <w:t>第五章 合同主要条款及格式</w:t>
      </w:r>
      <w:r>
        <w:tab/>
      </w:r>
      <w:r>
        <w:fldChar w:fldCharType="begin"/>
      </w:r>
      <w:r>
        <w:instrText xml:space="preserve"> PAGEREF _Toc27993 \h </w:instrText>
      </w:r>
      <w:r>
        <w:fldChar w:fldCharType="separate"/>
      </w:r>
      <w:r>
        <w:t>30</w:t>
      </w:r>
      <w:r>
        <w:fldChar w:fldCharType="end"/>
      </w:r>
      <w:r>
        <w:rPr>
          <w:rFonts w:hint="eastAsia" w:ascii="宋体" w:hAnsi="宋体" w:cs="宋体"/>
        </w:rPr>
        <w:fldChar w:fldCharType="end"/>
      </w:r>
    </w:p>
    <w:p w14:paraId="3FC830E9">
      <w:pPr>
        <w:pStyle w:val="31"/>
        <w:tabs>
          <w:tab w:val="right" w:leader="dot" w:pos="9638"/>
        </w:tabs>
      </w:pPr>
      <w:r>
        <w:rPr>
          <w:rFonts w:hint="eastAsia" w:ascii="宋体" w:hAnsi="宋体" w:cs="宋体"/>
        </w:rPr>
        <w:fldChar w:fldCharType="begin"/>
      </w:r>
      <w:r>
        <w:rPr>
          <w:rFonts w:hint="eastAsia" w:ascii="宋体" w:hAnsi="宋体" w:cs="宋体"/>
        </w:rPr>
        <w:instrText xml:space="preserve"> HYPERLINK \l _Toc2050 </w:instrText>
      </w:r>
      <w:r>
        <w:rPr>
          <w:rFonts w:hint="eastAsia" w:ascii="宋体" w:hAnsi="宋体" w:cs="宋体"/>
        </w:rPr>
        <w:fldChar w:fldCharType="separate"/>
      </w:r>
      <w:r>
        <w:rPr>
          <w:rFonts w:hint="eastAsia" w:ascii="宋体" w:hAnsi="宋体" w:cs="宋体"/>
        </w:rPr>
        <w:t>第六章 投标文件格式及附件</w:t>
      </w:r>
      <w:r>
        <w:tab/>
      </w:r>
      <w:r>
        <w:fldChar w:fldCharType="begin"/>
      </w:r>
      <w:r>
        <w:instrText xml:space="preserve"> PAGEREF _Toc2050 \h </w:instrText>
      </w:r>
      <w:r>
        <w:fldChar w:fldCharType="separate"/>
      </w:r>
      <w:r>
        <w:t>35</w:t>
      </w:r>
      <w:r>
        <w:fldChar w:fldCharType="end"/>
      </w:r>
      <w:r>
        <w:rPr>
          <w:rFonts w:hint="eastAsia" w:ascii="宋体" w:hAnsi="宋体" w:cs="宋体"/>
        </w:rPr>
        <w:fldChar w:fldCharType="end"/>
      </w:r>
    </w:p>
    <w:p w14:paraId="143800FC">
      <w:pPr>
        <w:spacing w:line="360" w:lineRule="auto"/>
        <w:rPr>
          <w:rFonts w:hint="eastAsia" w:ascii="宋体" w:hAnsi="宋体" w:cs="宋体"/>
          <w:sz w:val="28"/>
          <w:szCs w:val="28"/>
        </w:rPr>
      </w:pPr>
      <w:r>
        <w:rPr>
          <w:rFonts w:hint="eastAsia" w:ascii="宋体" w:hAnsi="宋体" w:cs="宋体"/>
        </w:rPr>
        <w:fldChar w:fldCharType="end"/>
      </w:r>
    </w:p>
    <w:p w14:paraId="4330EC0D">
      <w:pPr>
        <w:widowControl/>
        <w:shd w:val="clear" w:color="auto" w:fill="FFFFFF"/>
        <w:spacing w:line="360" w:lineRule="auto"/>
        <w:jc w:val="center"/>
        <w:rPr>
          <w:rFonts w:hint="eastAsia" w:ascii="宋体" w:hAnsi="宋体" w:cs="宋体"/>
          <w:b/>
          <w:kern w:val="0"/>
          <w:sz w:val="36"/>
          <w:szCs w:val="36"/>
        </w:rPr>
      </w:pPr>
    </w:p>
    <w:p w14:paraId="3D0728D9">
      <w:pPr>
        <w:pStyle w:val="2"/>
        <w:rPr>
          <w:rFonts w:hint="eastAsia" w:ascii="宋体" w:hAnsi="宋体" w:cs="宋体"/>
          <w:kern w:val="0"/>
          <w:szCs w:val="21"/>
        </w:rPr>
        <w:sectPr>
          <w:footerReference r:id="rId4" w:type="default"/>
          <w:endnotePr>
            <w:numFmt w:val="decimal"/>
          </w:endnotePr>
          <w:pgSz w:w="11906" w:h="16838"/>
          <w:pgMar w:top="850" w:right="850" w:bottom="850" w:left="1418" w:header="227" w:footer="720" w:gutter="0"/>
          <w:pgNumType w:start="1"/>
          <w:cols w:space="720" w:num="1"/>
        </w:sectPr>
      </w:pPr>
      <w:bookmarkStart w:id="0" w:name="_Toc481057143"/>
      <w:bookmarkStart w:id="1" w:name="_Hlk52290185"/>
      <w:bookmarkStart w:id="2" w:name="_Hlk54715254"/>
    </w:p>
    <w:p w14:paraId="54E968C6">
      <w:pPr>
        <w:pStyle w:val="2"/>
        <w:numPr>
          <w:ilvl w:val="0"/>
          <w:numId w:val="0"/>
        </w:numPr>
        <w:spacing w:line="360" w:lineRule="auto"/>
        <w:rPr>
          <w:rFonts w:hint="eastAsia" w:ascii="宋体" w:hAnsi="宋体" w:cs="宋体"/>
          <w:kern w:val="0"/>
          <w:szCs w:val="21"/>
        </w:rPr>
      </w:pPr>
      <w:bookmarkStart w:id="3" w:name="_Toc19842"/>
      <w:r>
        <w:rPr>
          <w:rFonts w:hint="eastAsia" w:ascii="宋体" w:hAnsi="宋体" w:cs="宋体"/>
          <w:kern w:val="0"/>
          <w:szCs w:val="21"/>
        </w:rPr>
        <w:t>第一章</w:t>
      </w:r>
      <w:r>
        <w:rPr>
          <w:rFonts w:hint="eastAsia" w:ascii="宋体" w:hAnsi="宋体" w:cs="宋体"/>
        </w:rPr>
        <w:t xml:space="preserve"> 招标公告</w:t>
      </w:r>
      <w:bookmarkEnd w:id="0"/>
      <w:bookmarkEnd w:id="3"/>
    </w:p>
    <w:p w14:paraId="3C974F56">
      <w:pPr>
        <w:widowControl/>
        <w:pBdr>
          <w:top w:val="single" w:color="auto" w:sz="4" w:space="1"/>
          <w:left w:val="single" w:color="auto" w:sz="4" w:space="4"/>
          <w:bottom w:val="single" w:color="auto" w:sz="4" w:space="1"/>
          <w:right w:val="single" w:color="auto" w:sz="4" w:space="4"/>
        </w:pBdr>
        <w:spacing w:line="360" w:lineRule="auto"/>
        <w:ind w:firstLine="369"/>
        <w:rPr>
          <w:rFonts w:hint="default" w:ascii="Times New Roman" w:hAnsi="Times New Roman" w:cs="Times New Roman"/>
          <w:b/>
          <w:bCs/>
          <w:spacing w:val="8"/>
          <w:kern w:val="0"/>
          <w:szCs w:val="21"/>
        </w:rPr>
      </w:pPr>
      <w:r>
        <w:rPr>
          <w:rFonts w:hint="default" w:ascii="Times New Roman" w:hAnsi="Times New Roman" w:cs="Times New Roman"/>
          <w:b/>
          <w:bCs/>
          <w:spacing w:val="8"/>
          <w:kern w:val="0"/>
          <w:szCs w:val="21"/>
        </w:rPr>
        <w:t>项目概况</w:t>
      </w:r>
    </w:p>
    <w:p w14:paraId="0F2F7E9B">
      <w:pPr>
        <w:widowControl/>
        <w:pBdr>
          <w:top w:val="single" w:color="auto" w:sz="4" w:space="1"/>
          <w:left w:val="single" w:color="auto" w:sz="4" w:space="4"/>
          <w:bottom w:val="single" w:color="auto" w:sz="4" w:space="1"/>
          <w:right w:val="single" w:color="auto" w:sz="4" w:space="4"/>
        </w:pBdr>
        <w:spacing w:line="360" w:lineRule="auto"/>
        <w:ind w:firstLine="369"/>
        <w:rPr>
          <w:rFonts w:hint="default" w:ascii="Times New Roman" w:hAnsi="Times New Roman" w:cs="Times New Roman"/>
          <w:kern w:val="0"/>
          <w:szCs w:val="21"/>
        </w:rPr>
      </w:pPr>
      <w:r>
        <w:rPr>
          <w:rFonts w:hint="default" w:ascii="Times New Roman" w:hAnsi="Times New Roman" w:cs="Times New Roman"/>
          <w:bCs/>
          <w:szCs w:val="21"/>
          <w:lang w:eastAsia="zh-CN"/>
        </w:rPr>
        <w:t>2026年浦口区市场监管局农贸市场和商超快检室食品安全快速检测及相关服务项目</w:t>
      </w:r>
      <w:r>
        <w:rPr>
          <w:rFonts w:hint="default" w:ascii="Times New Roman" w:hAnsi="Times New Roman" w:cs="Times New Roman"/>
          <w:spacing w:val="8"/>
          <w:kern w:val="0"/>
          <w:szCs w:val="21"/>
        </w:rPr>
        <w:t>的潜在投标人应在</w:t>
      </w:r>
      <w:r>
        <w:rPr>
          <w:rFonts w:hint="eastAsia" w:ascii="宋体" w:hAnsi="宋体" w:cs="宋体"/>
          <w:b/>
          <w:bCs/>
          <w:szCs w:val="21"/>
          <w:highlight w:val="none"/>
          <w:u w:val="single"/>
        </w:rPr>
        <w:t>苏采云系统注册登记成功后系统内免费下载</w:t>
      </w:r>
      <w:r>
        <w:rPr>
          <w:rFonts w:hint="default" w:ascii="Times New Roman" w:hAnsi="Times New Roman" w:cs="Times New Roman"/>
          <w:szCs w:val="21"/>
        </w:rPr>
        <w:t>获取采购文件，并于</w:t>
      </w:r>
      <w:r>
        <w:rPr>
          <w:rFonts w:hint="default" w:ascii="Times New Roman" w:hAnsi="Times New Roman" w:cs="Times New Roman"/>
          <w:b/>
          <w:bCs/>
          <w:iCs/>
          <w:spacing w:val="8"/>
          <w:kern w:val="0"/>
          <w:szCs w:val="21"/>
        </w:rPr>
        <w:t>202</w:t>
      </w:r>
      <w:r>
        <w:rPr>
          <w:rFonts w:hint="default" w:ascii="Times New Roman" w:hAnsi="Times New Roman" w:cs="Times New Roman"/>
          <w:b/>
          <w:bCs/>
          <w:iCs/>
          <w:spacing w:val="8"/>
          <w:kern w:val="0"/>
          <w:szCs w:val="21"/>
          <w:lang w:val="en-US" w:eastAsia="zh-CN"/>
        </w:rPr>
        <w:t>6</w:t>
      </w:r>
      <w:r>
        <w:rPr>
          <w:rFonts w:hint="default" w:ascii="Times New Roman" w:hAnsi="Times New Roman" w:cs="Times New Roman"/>
          <w:b/>
          <w:bCs/>
          <w:spacing w:val="8"/>
          <w:kern w:val="0"/>
          <w:szCs w:val="21"/>
        </w:rPr>
        <w:t>年</w:t>
      </w:r>
      <w:r>
        <w:rPr>
          <w:rFonts w:hint="default" w:ascii="Times New Roman" w:hAnsi="Times New Roman" w:cs="Times New Roman"/>
          <w:b/>
          <w:bCs/>
          <w:spacing w:val="8"/>
          <w:kern w:val="0"/>
          <w:szCs w:val="21"/>
          <w:lang w:val="en-US" w:eastAsia="zh-CN"/>
        </w:rPr>
        <w:t xml:space="preserve">  </w:t>
      </w:r>
      <w:r>
        <w:rPr>
          <w:rFonts w:hint="default" w:ascii="Times New Roman" w:hAnsi="Times New Roman" w:cs="Times New Roman"/>
          <w:b/>
          <w:bCs/>
          <w:spacing w:val="8"/>
          <w:kern w:val="0"/>
          <w:szCs w:val="21"/>
        </w:rPr>
        <w:t>月</w:t>
      </w:r>
      <w:r>
        <w:rPr>
          <w:rFonts w:hint="default" w:ascii="Times New Roman" w:hAnsi="Times New Roman" w:cs="Times New Roman"/>
          <w:b/>
          <w:bCs/>
          <w:spacing w:val="8"/>
          <w:kern w:val="0"/>
          <w:szCs w:val="21"/>
          <w:lang w:val="en-US" w:eastAsia="zh-CN"/>
        </w:rPr>
        <w:t xml:space="preserve">  </w:t>
      </w:r>
      <w:r>
        <w:rPr>
          <w:rFonts w:hint="default" w:ascii="Times New Roman" w:hAnsi="Times New Roman" w:cs="Times New Roman"/>
          <w:b/>
          <w:bCs/>
          <w:spacing w:val="8"/>
          <w:kern w:val="0"/>
          <w:szCs w:val="21"/>
        </w:rPr>
        <w:t>日</w:t>
      </w:r>
      <w:r>
        <w:rPr>
          <w:rFonts w:hint="default" w:ascii="Times New Roman" w:hAnsi="Times New Roman" w:cs="Times New Roman"/>
          <w:b/>
          <w:bCs/>
          <w:kern w:val="0"/>
          <w:szCs w:val="21"/>
        </w:rPr>
        <w:t>14点30分</w:t>
      </w:r>
      <w:r>
        <w:rPr>
          <w:rFonts w:hint="default" w:ascii="Times New Roman" w:hAnsi="Times New Roman" w:cs="Times New Roman"/>
          <w:kern w:val="0"/>
          <w:szCs w:val="21"/>
        </w:rPr>
        <w:t>（北京时间）前递交投标文件。</w:t>
      </w:r>
    </w:p>
    <w:p w14:paraId="7369F3EB">
      <w:pPr>
        <w:adjustRightInd w:val="0"/>
        <w:snapToGrid w:val="0"/>
        <w:spacing w:line="360" w:lineRule="auto"/>
        <w:ind w:firstLine="452" w:firstLineChars="200"/>
        <w:jc w:val="left"/>
        <w:rPr>
          <w:rFonts w:hint="default" w:ascii="Times New Roman" w:hAnsi="Times New Roman" w:cs="Times New Roman"/>
          <w:spacing w:val="8"/>
          <w:kern w:val="0"/>
          <w:szCs w:val="21"/>
        </w:rPr>
      </w:pPr>
    </w:p>
    <w:p w14:paraId="08067314">
      <w:pPr>
        <w:numPr>
          <w:ilvl w:val="0"/>
          <w:numId w:val="4"/>
        </w:numPr>
        <w:adjustRightInd w:val="0"/>
        <w:snapToGrid w:val="0"/>
        <w:spacing w:line="360" w:lineRule="auto"/>
        <w:jc w:val="left"/>
        <w:rPr>
          <w:rFonts w:hint="default" w:ascii="Times New Roman" w:hAnsi="Times New Roman" w:eastAsia="宋体" w:cs="Times New Roman"/>
          <w:bCs/>
          <w:szCs w:val="21"/>
          <w:lang w:eastAsia="zh-CN"/>
        </w:rPr>
      </w:pPr>
      <w:r>
        <w:rPr>
          <w:rFonts w:hint="default" w:ascii="Times New Roman" w:hAnsi="Times New Roman" w:cs="Times New Roman"/>
          <w:b/>
          <w:bCs/>
          <w:sz w:val="24"/>
        </w:rPr>
        <w:t>项目基本情况</w:t>
      </w:r>
      <w:bookmarkEnd w:id="1"/>
      <w:bookmarkEnd w:id="2"/>
    </w:p>
    <w:p w14:paraId="296DC3DD">
      <w:pPr>
        <w:spacing w:line="360" w:lineRule="auto"/>
        <w:ind w:firstLine="420" w:firstLineChars="200"/>
        <w:rPr>
          <w:rFonts w:hint="default" w:ascii="Times New Roman" w:hAnsi="Times New Roman" w:eastAsia="宋体" w:cs="Times New Roman"/>
          <w:bCs/>
          <w:szCs w:val="21"/>
          <w:lang w:eastAsia="zh-CN"/>
        </w:rPr>
      </w:pPr>
      <w:r>
        <w:rPr>
          <w:rFonts w:hint="default" w:ascii="Times New Roman" w:hAnsi="Times New Roman" w:cs="Times New Roman"/>
          <w:bCs/>
          <w:szCs w:val="21"/>
        </w:rPr>
        <w:t>1.1项目编号：</w:t>
      </w:r>
      <w:r>
        <w:rPr>
          <w:rFonts w:hint="default" w:ascii="Times New Roman" w:hAnsi="Times New Roman" w:cs="Times New Roman"/>
          <w:bCs/>
          <w:szCs w:val="21"/>
          <w:lang w:eastAsia="zh-CN"/>
        </w:rPr>
        <w:t>XXXXX</w:t>
      </w:r>
      <w:r>
        <w:rPr>
          <w:rFonts w:hint="default" w:ascii="Times New Roman" w:hAnsi="Times New Roman" w:cs="Times New Roman"/>
          <w:bCs/>
          <w:szCs w:val="21"/>
          <w:lang w:eastAsia="zh-CN"/>
        </w:rPr>
        <w:tab/>
      </w:r>
    </w:p>
    <w:p w14:paraId="294EC6DA">
      <w:pPr>
        <w:spacing w:line="360" w:lineRule="auto"/>
        <w:ind w:firstLine="420" w:firstLineChars="200"/>
        <w:rPr>
          <w:rFonts w:hint="default" w:ascii="Times New Roman" w:hAnsi="Times New Roman" w:eastAsia="宋体" w:cs="Times New Roman"/>
          <w:bCs/>
          <w:szCs w:val="21"/>
          <w:lang w:eastAsia="zh-CN"/>
        </w:rPr>
      </w:pPr>
      <w:r>
        <w:rPr>
          <w:rFonts w:hint="default" w:ascii="Times New Roman" w:hAnsi="Times New Roman" w:cs="Times New Roman"/>
          <w:bCs/>
          <w:szCs w:val="21"/>
        </w:rPr>
        <w:t>1.2项目名称：</w:t>
      </w:r>
      <w:r>
        <w:rPr>
          <w:rFonts w:hint="default" w:ascii="Times New Roman" w:hAnsi="Times New Roman" w:cs="Times New Roman"/>
          <w:bCs/>
          <w:szCs w:val="21"/>
          <w:lang w:eastAsia="zh-CN"/>
        </w:rPr>
        <w:t>2026年浦口区市场监管局农贸市场和商超快检室食品安全快速检测及相关服务项目</w:t>
      </w:r>
    </w:p>
    <w:p w14:paraId="2893FA12">
      <w:pPr>
        <w:spacing w:line="360" w:lineRule="auto"/>
        <w:ind w:firstLine="420" w:firstLineChars="200"/>
        <w:rPr>
          <w:rFonts w:hint="default" w:ascii="Times New Roman" w:hAnsi="Times New Roman" w:cs="Times New Roman"/>
          <w:highlight w:val="none"/>
        </w:rPr>
      </w:pPr>
      <w:r>
        <w:rPr>
          <w:rFonts w:hint="default" w:ascii="Times New Roman" w:hAnsi="Times New Roman" w:cs="Times New Roman"/>
          <w:bCs/>
          <w:szCs w:val="21"/>
          <w:highlight w:val="none"/>
        </w:rPr>
        <w:t>1.3预算金额：人民币</w:t>
      </w:r>
      <w:r>
        <w:rPr>
          <w:rFonts w:hint="default" w:ascii="Times New Roman" w:hAnsi="Times New Roman" w:cs="Times New Roman"/>
          <w:bCs/>
          <w:szCs w:val="21"/>
          <w:highlight w:val="none"/>
          <w:lang w:val="en-US" w:eastAsia="zh-CN"/>
        </w:rPr>
        <w:t>240.5</w:t>
      </w:r>
      <w:r>
        <w:rPr>
          <w:rFonts w:hint="default" w:ascii="Times New Roman" w:hAnsi="Times New Roman" w:cs="Times New Roman"/>
          <w:bCs/>
          <w:szCs w:val="21"/>
          <w:highlight w:val="none"/>
        </w:rPr>
        <w:t>万元</w:t>
      </w:r>
      <w:r>
        <w:rPr>
          <w:rFonts w:hint="default" w:ascii="Times New Roman" w:hAnsi="Times New Roman" w:eastAsia="宋体" w:cs="Times New Roman"/>
          <w:bCs/>
          <w:szCs w:val="21"/>
          <w:highlight w:val="none"/>
        </w:rPr>
        <w:t>（采购包1：</w:t>
      </w:r>
      <w:r>
        <w:rPr>
          <w:rFonts w:hint="default" w:ascii="Times New Roman" w:hAnsi="Times New Roman" w:cs="Times New Roman"/>
          <w:bCs/>
          <w:szCs w:val="21"/>
          <w:highlight w:val="none"/>
          <w:lang w:val="en-US" w:eastAsia="zh-CN"/>
        </w:rPr>
        <w:t>75.6</w:t>
      </w:r>
      <w:r>
        <w:rPr>
          <w:rFonts w:hint="default" w:ascii="Times New Roman" w:hAnsi="Times New Roman" w:eastAsia="宋体" w:cs="Times New Roman"/>
          <w:bCs/>
          <w:szCs w:val="21"/>
          <w:highlight w:val="none"/>
        </w:rPr>
        <w:t>万元；采购包2：</w:t>
      </w:r>
      <w:r>
        <w:rPr>
          <w:rFonts w:hint="default" w:ascii="Times New Roman" w:hAnsi="Times New Roman" w:cs="Times New Roman"/>
          <w:bCs/>
          <w:szCs w:val="21"/>
          <w:highlight w:val="none"/>
          <w:lang w:val="en-US" w:eastAsia="zh-CN"/>
        </w:rPr>
        <w:t>83.2</w:t>
      </w:r>
      <w:r>
        <w:rPr>
          <w:rFonts w:hint="default" w:ascii="Times New Roman" w:hAnsi="Times New Roman" w:eastAsia="宋体" w:cs="Times New Roman"/>
          <w:bCs/>
          <w:szCs w:val="21"/>
          <w:highlight w:val="none"/>
        </w:rPr>
        <w:t>万元；采购包</w:t>
      </w:r>
      <w:r>
        <w:rPr>
          <w:rFonts w:hint="default" w:ascii="Times New Roman" w:hAnsi="Times New Roman" w:eastAsia="宋体" w:cs="Times New Roman"/>
          <w:bCs/>
          <w:szCs w:val="21"/>
          <w:highlight w:val="none"/>
          <w:lang w:val="en-US" w:eastAsia="zh-CN"/>
        </w:rPr>
        <w:t>3</w:t>
      </w:r>
      <w:r>
        <w:rPr>
          <w:rFonts w:hint="default" w:ascii="Times New Roman" w:hAnsi="Times New Roman" w:eastAsia="宋体" w:cs="Times New Roman"/>
          <w:bCs/>
          <w:szCs w:val="21"/>
          <w:highlight w:val="none"/>
        </w:rPr>
        <w:t>：</w:t>
      </w:r>
      <w:r>
        <w:rPr>
          <w:rFonts w:hint="default" w:ascii="Times New Roman" w:hAnsi="Times New Roman" w:cs="Times New Roman"/>
          <w:bCs/>
          <w:szCs w:val="21"/>
          <w:highlight w:val="none"/>
          <w:lang w:val="en-US" w:eastAsia="zh-CN"/>
        </w:rPr>
        <w:t>81.7</w:t>
      </w:r>
      <w:r>
        <w:rPr>
          <w:rFonts w:hint="default" w:ascii="Times New Roman" w:hAnsi="Times New Roman" w:eastAsia="宋体" w:cs="Times New Roman"/>
          <w:bCs/>
          <w:szCs w:val="21"/>
          <w:highlight w:val="none"/>
        </w:rPr>
        <w:t>万元</w:t>
      </w:r>
      <w:r>
        <w:rPr>
          <w:rFonts w:hint="default" w:ascii="Times New Roman" w:hAnsi="Times New Roman" w:eastAsia="宋体" w:cs="Times New Roman"/>
          <w:bCs/>
          <w:szCs w:val="21"/>
          <w:highlight w:val="none"/>
          <w:lang w:eastAsia="zh-CN"/>
        </w:rPr>
        <w:t>。</w:t>
      </w:r>
      <w:r>
        <w:rPr>
          <w:rFonts w:hint="default" w:ascii="Times New Roman" w:hAnsi="Times New Roman" w:eastAsia="宋体" w:cs="Times New Roman"/>
          <w:bCs/>
          <w:szCs w:val="21"/>
          <w:highlight w:val="none"/>
        </w:rPr>
        <w:t>）</w:t>
      </w:r>
    </w:p>
    <w:p w14:paraId="562B7F85">
      <w:pPr>
        <w:spacing w:line="360" w:lineRule="auto"/>
        <w:ind w:firstLine="420" w:firstLineChars="200"/>
        <w:rPr>
          <w:rFonts w:hint="default" w:ascii="Times New Roman" w:hAnsi="Times New Roman" w:eastAsia="宋体" w:cs="Times New Roman"/>
          <w:bCs/>
          <w:szCs w:val="21"/>
          <w:highlight w:val="none"/>
          <w:lang w:val="en-US" w:eastAsia="zh-CN"/>
        </w:rPr>
      </w:pPr>
      <w:r>
        <w:rPr>
          <w:rFonts w:hint="default" w:ascii="Times New Roman" w:hAnsi="Times New Roman" w:cs="Times New Roman"/>
          <w:bCs/>
          <w:szCs w:val="21"/>
          <w:highlight w:val="none"/>
        </w:rPr>
        <w:t>1.4最高限价：</w:t>
      </w:r>
      <w:r>
        <w:rPr>
          <w:rFonts w:hint="default" w:ascii="Times New Roman" w:hAnsi="Times New Roman" w:eastAsia="宋体" w:cs="Times New Roman"/>
          <w:bCs/>
          <w:szCs w:val="21"/>
          <w:highlight w:val="none"/>
        </w:rPr>
        <w:t>采购包1：</w:t>
      </w:r>
      <w:r>
        <w:rPr>
          <w:rFonts w:hint="default" w:ascii="Times New Roman" w:hAnsi="Times New Roman" w:cs="Times New Roman"/>
          <w:i w:val="0"/>
          <w:iCs w:val="0"/>
          <w:color w:val="auto"/>
          <w:sz w:val="21"/>
          <w:szCs w:val="21"/>
          <w:highlight w:val="none"/>
          <w:u w:val="none"/>
          <w:lang w:val="en-US" w:eastAsia="zh-CN" w:bidi="ar"/>
        </w:rPr>
        <w:t>75.6</w:t>
      </w:r>
      <w:r>
        <w:rPr>
          <w:rFonts w:hint="default" w:ascii="Times New Roman" w:hAnsi="Times New Roman" w:eastAsia="宋体" w:cs="Times New Roman"/>
          <w:bCs/>
          <w:szCs w:val="21"/>
          <w:highlight w:val="none"/>
        </w:rPr>
        <w:t>万元；采购包2：</w:t>
      </w:r>
      <w:r>
        <w:rPr>
          <w:rFonts w:hint="default" w:ascii="Times New Roman" w:hAnsi="Times New Roman" w:cs="Times New Roman"/>
          <w:bCs/>
          <w:szCs w:val="21"/>
          <w:highlight w:val="none"/>
          <w:lang w:val="en-US" w:eastAsia="zh-CN"/>
        </w:rPr>
        <w:t>83.2</w:t>
      </w:r>
      <w:r>
        <w:rPr>
          <w:rFonts w:hint="default" w:ascii="Times New Roman" w:hAnsi="Times New Roman" w:eastAsia="宋体" w:cs="Times New Roman"/>
          <w:bCs/>
          <w:szCs w:val="21"/>
          <w:highlight w:val="none"/>
        </w:rPr>
        <w:t>万元；采购包</w:t>
      </w:r>
      <w:r>
        <w:rPr>
          <w:rFonts w:hint="default" w:ascii="Times New Roman" w:hAnsi="Times New Roman" w:eastAsia="宋体" w:cs="Times New Roman"/>
          <w:bCs/>
          <w:szCs w:val="21"/>
          <w:highlight w:val="none"/>
          <w:lang w:val="en-US" w:eastAsia="zh-CN"/>
        </w:rPr>
        <w:t>3</w:t>
      </w:r>
      <w:r>
        <w:rPr>
          <w:rFonts w:hint="default" w:ascii="Times New Roman" w:hAnsi="Times New Roman" w:eastAsia="宋体" w:cs="Times New Roman"/>
          <w:bCs/>
          <w:szCs w:val="21"/>
          <w:highlight w:val="none"/>
        </w:rPr>
        <w:t>：</w:t>
      </w:r>
      <w:r>
        <w:rPr>
          <w:rFonts w:hint="default" w:ascii="Times New Roman" w:hAnsi="Times New Roman" w:cs="Times New Roman"/>
          <w:bCs/>
          <w:szCs w:val="21"/>
          <w:highlight w:val="none"/>
          <w:lang w:val="en-US" w:eastAsia="zh-CN"/>
        </w:rPr>
        <w:t>81.7</w:t>
      </w:r>
      <w:r>
        <w:rPr>
          <w:rFonts w:hint="default" w:ascii="Times New Roman" w:hAnsi="Times New Roman" w:eastAsia="宋体" w:cs="Times New Roman"/>
          <w:bCs/>
          <w:szCs w:val="21"/>
          <w:highlight w:val="none"/>
        </w:rPr>
        <w:t>万元</w:t>
      </w:r>
      <w:r>
        <w:rPr>
          <w:rFonts w:hint="default" w:ascii="Times New Roman" w:hAnsi="Times New Roman" w:eastAsia="宋体" w:cs="Times New Roman"/>
          <w:bCs/>
          <w:szCs w:val="21"/>
          <w:highlight w:val="none"/>
          <w:lang w:eastAsia="zh-CN"/>
        </w:rPr>
        <w:t>。</w:t>
      </w:r>
    </w:p>
    <w:p w14:paraId="4BB3EA95">
      <w:pPr>
        <w:widowControl/>
        <w:shd w:val="clear" w:color="auto" w:fill="FFFFFF"/>
        <w:spacing w:line="360" w:lineRule="auto"/>
        <w:ind w:firstLine="420" w:firstLineChars="200"/>
        <w:jc w:val="left"/>
        <w:rPr>
          <w:rFonts w:hint="default" w:ascii="Times New Roman" w:hAnsi="Times New Roman" w:cs="Times New Roman"/>
          <w:highlight w:val="none"/>
          <w:lang w:val="en-US" w:eastAsia="zh-CN"/>
        </w:rPr>
      </w:pPr>
      <w:r>
        <w:rPr>
          <w:rFonts w:hint="default" w:ascii="Times New Roman" w:hAnsi="Times New Roman" w:eastAsia="宋体" w:cs="Times New Roman"/>
          <w:bCs/>
          <w:szCs w:val="21"/>
          <w:highlight w:val="none"/>
        </w:rPr>
        <w:t>采购包划分：本项目共划分为</w:t>
      </w:r>
      <w:r>
        <w:rPr>
          <w:rFonts w:hint="default" w:ascii="Times New Roman" w:hAnsi="Times New Roman" w:cs="Times New Roman"/>
          <w:bCs/>
          <w:szCs w:val="21"/>
          <w:highlight w:val="none"/>
          <w:lang w:val="en-US" w:eastAsia="zh-CN"/>
        </w:rPr>
        <w:t>3</w:t>
      </w:r>
      <w:r>
        <w:rPr>
          <w:rFonts w:hint="default" w:ascii="Times New Roman" w:hAnsi="Times New Roman" w:eastAsia="宋体" w:cs="Times New Roman"/>
          <w:bCs/>
          <w:szCs w:val="21"/>
          <w:highlight w:val="none"/>
        </w:rPr>
        <w:t>个分包，评标顺序依次为采购包</w:t>
      </w:r>
      <w:r>
        <w:rPr>
          <w:rFonts w:hint="default" w:ascii="Times New Roman" w:hAnsi="Times New Roman" w:cs="Times New Roman"/>
          <w:bCs/>
          <w:szCs w:val="21"/>
          <w:highlight w:val="none"/>
          <w:lang w:val="en-US" w:eastAsia="zh-CN"/>
        </w:rPr>
        <w:t>1</w:t>
      </w:r>
      <w:r>
        <w:rPr>
          <w:rFonts w:hint="default" w:ascii="Times New Roman" w:hAnsi="Times New Roman" w:eastAsia="宋体" w:cs="Times New Roman"/>
          <w:bCs/>
          <w:szCs w:val="21"/>
          <w:highlight w:val="none"/>
        </w:rPr>
        <w:t>、采购包</w:t>
      </w:r>
      <w:r>
        <w:rPr>
          <w:rFonts w:hint="default" w:ascii="Times New Roman" w:hAnsi="Times New Roman" w:cs="Times New Roman"/>
          <w:bCs/>
          <w:szCs w:val="21"/>
          <w:highlight w:val="none"/>
          <w:lang w:val="en-US" w:eastAsia="zh-CN"/>
        </w:rPr>
        <w:t>2</w:t>
      </w:r>
      <w:r>
        <w:rPr>
          <w:rFonts w:hint="default" w:ascii="Times New Roman" w:hAnsi="Times New Roman" w:eastAsia="宋体" w:cs="Times New Roman"/>
          <w:bCs/>
          <w:szCs w:val="21"/>
          <w:highlight w:val="none"/>
        </w:rPr>
        <w:t>、采购包</w:t>
      </w:r>
      <w:r>
        <w:rPr>
          <w:rFonts w:hint="default" w:ascii="Times New Roman" w:hAnsi="Times New Roman" w:cs="Times New Roman"/>
          <w:bCs/>
          <w:szCs w:val="21"/>
          <w:highlight w:val="none"/>
          <w:lang w:val="en-US" w:eastAsia="zh-CN"/>
        </w:rPr>
        <w:t>3</w:t>
      </w:r>
      <w:r>
        <w:rPr>
          <w:rFonts w:hint="default" w:ascii="Times New Roman" w:hAnsi="Times New Roman" w:eastAsia="宋体" w:cs="Times New Roman"/>
          <w:bCs/>
          <w:szCs w:val="21"/>
          <w:highlight w:val="none"/>
        </w:rPr>
        <w:t>，各供应商可以参与一个或多个分包的投标，但最多只能中标</w:t>
      </w:r>
      <w:r>
        <w:rPr>
          <w:rFonts w:hint="default" w:ascii="Times New Roman" w:hAnsi="Times New Roman" w:cs="Times New Roman"/>
          <w:bCs/>
          <w:szCs w:val="21"/>
          <w:highlight w:val="none"/>
          <w:lang w:val="en-US" w:eastAsia="zh-CN"/>
        </w:rPr>
        <w:t>1</w:t>
      </w:r>
      <w:r>
        <w:rPr>
          <w:rFonts w:hint="default" w:ascii="Times New Roman" w:hAnsi="Times New Roman" w:eastAsia="宋体" w:cs="Times New Roman"/>
          <w:bCs/>
          <w:szCs w:val="21"/>
          <w:highlight w:val="none"/>
        </w:rPr>
        <w:t>个分包，已经中标的供应商</w:t>
      </w:r>
      <w:r>
        <w:rPr>
          <w:rFonts w:hint="default" w:ascii="Times New Roman" w:hAnsi="Times New Roman" w:cs="Times New Roman"/>
          <w:bCs/>
          <w:szCs w:val="21"/>
          <w:highlight w:val="none"/>
          <w:lang w:val="en-US" w:eastAsia="zh-CN"/>
        </w:rPr>
        <w:t>可以参与后续评审，但不再被推荐为中标候选人</w:t>
      </w:r>
      <w:r>
        <w:rPr>
          <w:rFonts w:hint="default" w:ascii="Times New Roman" w:hAnsi="Times New Roman" w:eastAsia="宋体" w:cs="Times New Roman"/>
          <w:bCs/>
          <w:szCs w:val="21"/>
          <w:highlight w:val="none"/>
        </w:rPr>
        <w:t>。</w:t>
      </w:r>
    </w:p>
    <w:p w14:paraId="69AD73D3">
      <w:pPr>
        <w:widowControl/>
        <w:shd w:val="clear" w:color="auto" w:fill="auto"/>
        <w:spacing w:line="360" w:lineRule="auto"/>
        <w:ind w:firstLine="420" w:firstLineChars="200"/>
        <w:jc w:val="left"/>
        <w:rPr>
          <w:rFonts w:hint="default" w:ascii="Times New Roman" w:hAnsi="Times New Roman" w:cs="Times New Roman"/>
          <w:bCs/>
          <w:szCs w:val="21"/>
          <w:highlight w:val="none"/>
        </w:rPr>
      </w:pPr>
      <w:r>
        <w:rPr>
          <w:rFonts w:hint="default" w:ascii="Times New Roman" w:hAnsi="Times New Roman" w:cs="Times New Roman"/>
          <w:bCs/>
          <w:szCs w:val="21"/>
          <w:highlight w:val="none"/>
        </w:rPr>
        <w:t>1.5采购需求：拟选定供应商负责一年内浦口区12家农贸市场</w:t>
      </w:r>
      <w:r>
        <w:rPr>
          <w:rFonts w:hint="default" w:ascii="Times New Roman" w:hAnsi="Times New Roman" w:cs="Times New Roman"/>
          <w:bCs/>
          <w:szCs w:val="21"/>
          <w:highlight w:val="none"/>
          <w:lang w:eastAsia="zh-CN"/>
        </w:rPr>
        <w:t>和</w:t>
      </w:r>
      <w:r>
        <w:rPr>
          <w:rFonts w:hint="default" w:ascii="Times New Roman" w:hAnsi="Times New Roman" w:cs="Times New Roman"/>
          <w:bCs/>
          <w:szCs w:val="21"/>
          <w:highlight w:val="none"/>
          <w:lang w:val="en-US" w:eastAsia="zh-CN"/>
        </w:rPr>
        <w:t>3</w:t>
      </w:r>
      <w:r>
        <w:rPr>
          <w:rFonts w:hint="default" w:ascii="Times New Roman" w:hAnsi="Times New Roman" w:cs="Times New Roman"/>
          <w:bCs/>
          <w:szCs w:val="21"/>
          <w:highlight w:val="none"/>
        </w:rPr>
        <w:t>家商超快检室的食品安全快速检测运行维护。其中，食品安全快速检测应按照《</w:t>
      </w:r>
      <w:r>
        <w:rPr>
          <w:rFonts w:hint="default" w:ascii="Times New Roman" w:hAnsi="Times New Roman" w:cs="Times New Roman"/>
          <w:sz w:val="21"/>
          <w:szCs w:val="21"/>
          <w:highlight w:val="none"/>
        </w:rPr>
        <w:t>南京市食用农产品集中交易市场食品快检工作指南</w:t>
      </w:r>
      <w:r>
        <w:rPr>
          <w:rFonts w:hint="default" w:ascii="Times New Roman" w:hAnsi="Times New Roman" w:cs="Times New Roman"/>
          <w:bCs/>
          <w:szCs w:val="21"/>
          <w:highlight w:val="none"/>
        </w:rPr>
        <w:t>》的相关规定执行，同时接受我局的相关考核管理。具体要求详见招标文件。</w:t>
      </w:r>
    </w:p>
    <w:p w14:paraId="6736998E">
      <w:pPr>
        <w:spacing w:line="360" w:lineRule="auto"/>
        <w:ind w:firstLine="420" w:firstLineChars="200"/>
        <w:rPr>
          <w:rFonts w:hint="default" w:ascii="Times New Roman" w:hAnsi="Times New Roman" w:cs="Times New Roman"/>
          <w:bCs/>
          <w:szCs w:val="21"/>
          <w:highlight w:val="none"/>
        </w:rPr>
      </w:pPr>
      <w:r>
        <w:rPr>
          <w:rFonts w:hint="default" w:ascii="Times New Roman" w:hAnsi="Times New Roman" w:cs="Times New Roman"/>
          <w:bCs/>
          <w:szCs w:val="21"/>
          <w:highlight w:val="none"/>
        </w:rPr>
        <w:t>1.6合同履行期限：</w:t>
      </w:r>
      <w:r>
        <w:rPr>
          <w:rFonts w:hint="default" w:ascii="Times New Roman" w:hAnsi="Times New Roman" w:cs="Times New Roman"/>
          <w:szCs w:val="21"/>
          <w:highlight w:val="none"/>
        </w:rPr>
        <w:t>自合同签订之日起</w:t>
      </w:r>
      <w:r>
        <w:rPr>
          <w:rFonts w:hint="default" w:ascii="Times New Roman" w:hAnsi="Times New Roman" w:cs="Times New Roman"/>
          <w:szCs w:val="21"/>
          <w:highlight w:val="none"/>
          <w:lang w:val="en-US" w:eastAsia="zh-CN"/>
        </w:rPr>
        <w:t>1年</w:t>
      </w:r>
      <w:r>
        <w:rPr>
          <w:rFonts w:hint="default" w:ascii="Times New Roman" w:hAnsi="Times New Roman" w:cs="Times New Roman"/>
          <w:szCs w:val="21"/>
          <w:highlight w:val="none"/>
        </w:rPr>
        <w:t>。</w:t>
      </w:r>
    </w:p>
    <w:p w14:paraId="2C39F4C8">
      <w:pPr>
        <w:spacing w:line="360" w:lineRule="auto"/>
        <w:ind w:firstLine="420" w:firstLineChars="200"/>
        <w:rPr>
          <w:rFonts w:hint="default" w:ascii="Times New Roman" w:hAnsi="Times New Roman" w:cs="Times New Roman"/>
          <w:bCs/>
          <w:szCs w:val="21"/>
        </w:rPr>
      </w:pPr>
      <w:r>
        <w:rPr>
          <w:rFonts w:hint="default" w:ascii="Times New Roman" w:hAnsi="Times New Roman" w:cs="Times New Roman"/>
          <w:bCs/>
          <w:szCs w:val="21"/>
        </w:rPr>
        <w:t>1.7行业划分：其他未列明行业。</w:t>
      </w:r>
    </w:p>
    <w:p w14:paraId="01685735">
      <w:pPr>
        <w:spacing w:line="360" w:lineRule="auto"/>
        <w:ind w:firstLine="420" w:firstLineChars="200"/>
        <w:rPr>
          <w:rFonts w:hint="default" w:ascii="Times New Roman" w:hAnsi="Times New Roman" w:cs="Times New Roman"/>
          <w:bCs/>
          <w:szCs w:val="21"/>
        </w:rPr>
      </w:pPr>
      <w:r>
        <w:rPr>
          <w:rFonts w:hint="default" w:ascii="Times New Roman" w:hAnsi="Times New Roman" w:cs="Times New Roman"/>
          <w:bCs/>
          <w:szCs w:val="21"/>
        </w:rPr>
        <w:t>1.8本项目非专门面向中小企业（或监狱企业或残疾人福利性单位）采购。</w:t>
      </w:r>
    </w:p>
    <w:p w14:paraId="0196D4A4">
      <w:pPr>
        <w:spacing w:line="360" w:lineRule="auto"/>
        <w:ind w:firstLine="420" w:firstLineChars="200"/>
        <w:rPr>
          <w:rFonts w:hint="default" w:ascii="Times New Roman" w:hAnsi="Times New Roman" w:cs="Times New Roman"/>
          <w:bCs/>
          <w:szCs w:val="21"/>
        </w:rPr>
      </w:pPr>
      <w:r>
        <w:rPr>
          <w:rFonts w:hint="default" w:ascii="Times New Roman" w:hAnsi="Times New Roman" w:cs="Times New Roman"/>
          <w:bCs/>
          <w:szCs w:val="21"/>
        </w:rPr>
        <w:t>1.9本项目不接受联合体投标。</w:t>
      </w:r>
    </w:p>
    <w:p w14:paraId="613AD9A9">
      <w:pPr>
        <w:adjustRightInd w:val="0"/>
        <w:snapToGrid w:val="0"/>
        <w:spacing w:line="360" w:lineRule="auto"/>
        <w:ind w:firstLine="452" w:firstLineChars="200"/>
        <w:jc w:val="left"/>
        <w:rPr>
          <w:rFonts w:hint="default" w:ascii="Times New Roman" w:hAnsi="Times New Roman" w:cs="Times New Roman"/>
          <w:spacing w:val="8"/>
          <w:kern w:val="0"/>
          <w:szCs w:val="21"/>
        </w:rPr>
      </w:pPr>
    </w:p>
    <w:p w14:paraId="345A7AF6">
      <w:pPr>
        <w:adjustRightInd w:val="0"/>
        <w:snapToGrid w:val="0"/>
        <w:spacing w:line="360" w:lineRule="auto"/>
        <w:jc w:val="left"/>
        <w:rPr>
          <w:rFonts w:hint="default" w:ascii="Times New Roman" w:hAnsi="Times New Roman" w:cs="Times New Roman"/>
          <w:b/>
          <w:bCs/>
          <w:sz w:val="24"/>
        </w:rPr>
      </w:pPr>
      <w:r>
        <w:rPr>
          <w:rFonts w:hint="default" w:ascii="Times New Roman" w:hAnsi="Times New Roman" w:cs="Times New Roman"/>
          <w:b/>
          <w:bCs/>
          <w:sz w:val="24"/>
        </w:rPr>
        <w:t>二、申请人的资格要求：</w:t>
      </w:r>
    </w:p>
    <w:p w14:paraId="01DEDD93">
      <w:pPr>
        <w:adjustRightInd w:val="0"/>
        <w:snapToGrid w:val="0"/>
        <w:spacing w:line="360" w:lineRule="auto"/>
        <w:ind w:firstLine="454" w:firstLineChars="200"/>
        <w:jc w:val="left"/>
        <w:rPr>
          <w:rFonts w:hint="default" w:ascii="Times New Roman" w:hAnsi="Times New Roman" w:cs="Times New Roman"/>
          <w:b/>
          <w:spacing w:val="8"/>
          <w:kern w:val="0"/>
          <w:szCs w:val="21"/>
        </w:rPr>
      </w:pPr>
      <w:r>
        <w:rPr>
          <w:rFonts w:hint="default" w:ascii="Times New Roman" w:hAnsi="Times New Roman" w:cs="Times New Roman"/>
          <w:b/>
          <w:spacing w:val="8"/>
          <w:kern w:val="0"/>
          <w:szCs w:val="21"/>
        </w:rPr>
        <w:t>2.1满足《中华人民共和国政府采购法》第二十二条规定：</w:t>
      </w:r>
    </w:p>
    <w:p w14:paraId="17F8AA06">
      <w:pPr>
        <w:spacing w:line="360" w:lineRule="auto"/>
        <w:ind w:firstLine="420" w:firstLineChars="200"/>
        <w:rPr>
          <w:rFonts w:hint="default" w:ascii="Times New Roman" w:hAnsi="Times New Roman" w:cs="Times New Roman"/>
          <w:bCs/>
          <w:szCs w:val="21"/>
        </w:rPr>
      </w:pPr>
      <w:r>
        <w:rPr>
          <w:rFonts w:hint="default" w:ascii="Times New Roman" w:hAnsi="Times New Roman" w:cs="Times New Roman"/>
          <w:bCs/>
          <w:szCs w:val="21"/>
        </w:rPr>
        <w:t>（1）具有独立承担民事责任的能力（提供法人或者其他组织的营业执照；供应商为自然人的，提供其身份证）；</w:t>
      </w:r>
    </w:p>
    <w:p w14:paraId="3D0A63B9">
      <w:pPr>
        <w:spacing w:line="360" w:lineRule="auto"/>
        <w:ind w:firstLine="420" w:firstLineChars="200"/>
        <w:rPr>
          <w:rFonts w:hint="default" w:ascii="Times New Roman" w:hAnsi="Times New Roman" w:cs="Times New Roman"/>
          <w:bCs/>
          <w:szCs w:val="21"/>
        </w:rPr>
      </w:pPr>
      <w:r>
        <w:rPr>
          <w:rFonts w:hint="default" w:ascii="Times New Roman" w:hAnsi="Times New Roman" w:cs="Times New Roman"/>
          <w:bCs/>
          <w:szCs w:val="21"/>
        </w:rPr>
        <w:t>（2）具有良好的商业信誉和健全的财务会计制度（提供2024</w:t>
      </w:r>
      <w:r>
        <w:rPr>
          <w:rFonts w:hint="default" w:ascii="Times New Roman" w:hAnsi="Times New Roman" w:cs="Times New Roman"/>
          <w:bCs/>
          <w:szCs w:val="21"/>
          <w:lang w:val="en-US" w:eastAsia="zh-CN"/>
        </w:rPr>
        <w:t>或2025</w:t>
      </w:r>
      <w:r>
        <w:rPr>
          <w:rFonts w:hint="default" w:ascii="Times New Roman" w:hAnsi="Times New Roman" w:cs="Times New Roman"/>
          <w:bCs/>
          <w:szCs w:val="21"/>
        </w:rPr>
        <w:t>年度的财务报表，或投标截止时间前六个月内银行出具的资信证明）；</w:t>
      </w:r>
    </w:p>
    <w:p w14:paraId="350C931D">
      <w:pPr>
        <w:spacing w:line="360" w:lineRule="auto"/>
        <w:ind w:firstLine="420" w:firstLineChars="200"/>
        <w:rPr>
          <w:rFonts w:hint="default" w:ascii="Times New Roman" w:hAnsi="Times New Roman" w:cs="Times New Roman"/>
          <w:bCs/>
          <w:szCs w:val="21"/>
        </w:rPr>
      </w:pPr>
      <w:r>
        <w:rPr>
          <w:rFonts w:hint="default" w:ascii="Times New Roman" w:hAnsi="Times New Roman" w:cs="Times New Roman"/>
          <w:bCs/>
          <w:szCs w:val="21"/>
        </w:rPr>
        <w:t>（3）具有履行合同所必需的设备和专业技术能力（供应商根据履行采购项目合同需要，提供履行合同所必需的设备和专业技术能力的证明材料）；</w:t>
      </w:r>
    </w:p>
    <w:p w14:paraId="3B05C7EA">
      <w:pPr>
        <w:spacing w:line="360" w:lineRule="auto"/>
        <w:ind w:firstLine="420" w:firstLineChars="200"/>
        <w:rPr>
          <w:rFonts w:hint="default" w:ascii="Times New Roman" w:hAnsi="Times New Roman" w:cs="Times New Roman"/>
          <w:bCs/>
          <w:szCs w:val="21"/>
        </w:rPr>
      </w:pPr>
      <w:r>
        <w:rPr>
          <w:rFonts w:hint="default" w:ascii="Times New Roman" w:hAnsi="Times New Roman" w:cs="Times New Roman"/>
          <w:bCs/>
          <w:szCs w:val="21"/>
        </w:rPr>
        <w:t>（4）有依法缴纳税收和社会保障资金的良好记录（提供参加本次政府采购活动前半年内至少一个月：</w:t>
      </w:r>
      <w:r>
        <w:rPr>
          <w:rFonts w:hint="default" w:ascii="Times New Roman" w:hAnsi="Times New Roman" w:cs="Times New Roman"/>
          <w:bCs/>
          <w:szCs w:val="21"/>
        </w:rPr>
        <w:fldChar w:fldCharType="begin"/>
      </w:r>
      <w:r>
        <w:rPr>
          <w:rFonts w:hint="default" w:ascii="Times New Roman" w:hAnsi="Times New Roman" w:cs="Times New Roman"/>
          <w:bCs/>
          <w:szCs w:val="21"/>
        </w:rPr>
        <w:instrText xml:space="preserve"> EQ \o\ac(○,1)</w:instrText>
      </w:r>
      <w:r>
        <w:rPr>
          <w:rFonts w:hint="default" w:ascii="Times New Roman" w:hAnsi="Times New Roman" w:cs="Times New Roman"/>
          <w:bCs/>
          <w:szCs w:val="21"/>
        </w:rPr>
        <w:fldChar w:fldCharType="end"/>
      </w:r>
      <w:r>
        <w:rPr>
          <w:rFonts w:hint="default" w:ascii="Times New Roman" w:hAnsi="Times New Roman" w:cs="Times New Roman"/>
          <w:bCs/>
          <w:szCs w:val="21"/>
        </w:rPr>
        <w:t>缴纳税收的凭证；</w:t>
      </w:r>
      <w:r>
        <w:rPr>
          <w:rFonts w:hint="default" w:ascii="Times New Roman" w:hAnsi="Times New Roman" w:cs="Times New Roman"/>
          <w:bCs/>
          <w:szCs w:val="21"/>
        </w:rPr>
        <w:fldChar w:fldCharType="begin"/>
      </w:r>
      <w:r>
        <w:rPr>
          <w:rFonts w:hint="default" w:ascii="Times New Roman" w:hAnsi="Times New Roman" w:cs="Times New Roman"/>
          <w:bCs/>
          <w:szCs w:val="21"/>
        </w:rPr>
        <w:instrText xml:space="preserve"> EQ \o\ac(○,2)</w:instrText>
      </w:r>
      <w:r>
        <w:rPr>
          <w:rFonts w:hint="default" w:ascii="Times New Roman" w:hAnsi="Times New Roman" w:cs="Times New Roman"/>
          <w:bCs/>
          <w:szCs w:val="21"/>
        </w:rPr>
        <w:fldChar w:fldCharType="end"/>
      </w:r>
      <w:r>
        <w:rPr>
          <w:rFonts w:hint="default" w:ascii="Times New Roman" w:hAnsi="Times New Roman" w:cs="Times New Roman"/>
          <w:bCs/>
          <w:szCs w:val="21"/>
        </w:rPr>
        <w:t>缴纳社会保险的凭据），依法享受免缴、缓缴的，提供证明材料；</w:t>
      </w:r>
    </w:p>
    <w:p w14:paraId="19D362D7">
      <w:pPr>
        <w:spacing w:line="360" w:lineRule="auto"/>
        <w:ind w:firstLine="420" w:firstLineChars="200"/>
        <w:rPr>
          <w:rFonts w:hint="default" w:ascii="Times New Roman" w:hAnsi="Times New Roman" w:cs="Times New Roman"/>
          <w:bCs/>
          <w:szCs w:val="21"/>
        </w:rPr>
      </w:pPr>
      <w:r>
        <w:rPr>
          <w:rFonts w:hint="default" w:ascii="Times New Roman" w:hAnsi="Times New Roman" w:cs="Times New Roman"/>
          <w:bCs/>
          <w:szCs w:val="21"/>
        </w:rPr>
        <w:t>（5）参加政府采购活动前三年内，在经营活动中没有重大违法记录（提供承诺书）；</w:t>
      </w:r>
    </w:p>
    <w:p w14:paraId="58AB5D58">
      <w:pPr>
        <w:spacing w:line="360" w:lineRule="auto"/>
        <w:ind w:firstLine="420" w:firstLineChars="200"/>
        <w:rPr>
          <w:rFonts w:hint="default" w:ascii="Times New Roman" w:hAnsi="Times New Roman" w:cs="Times New Roman"/>
          <w:bCs/>
          <w:szCs w:val="21"/>
        </w:rPr>
      </w:pPr>
      <w:r>
        <w:rPr>
          <w:rFonts w:hint="default" w:ascii="Times New Roman" w:hAnsi="Times New Roman" w:cs="Times New Roman"/>
          <w:bCs/>
          <w:szCs w:val="21"/>
        </w:rPr>
        <w:t>（6）</w:t>
      </w:r>
      <w:bookmarkStart w:id="4" w:name="OLE_LINK1"/>
      <w:r>
        <w:rPr>
          <w:rFonts w:hint="default" w:ascii="Times New Roman" w:hAnsi="Times New Roman" w:cs="Times New Roman"/>
          <w:bCs/>
          <w:szCs w:val="21"/>
        </w:rPr>
        <w:t>法律、行政法规规定的其他条件：无。</w:t>
      </w:r>
      <w:bookmarkEnd w:id="4"/>
    </w:p>
    <w:p w14:paraId="609B4FAD">
      <w:pPr>
        <w:adjustRightInd w:val="0"/>
        <w:snapToGrid w:val="0"/>
        <w:spacing w:line="360" w:lineRule="auto"/>
        <w:ind w:firstLine="454" w:firstLineChars="200"/>
        <w:jc w:val="left"/>
        <w:rPr>
          <w:rFonts w:hint="default" w:ascii="Times New Roman" w:hAnsi="Times New Roman" w:cs="Times New Roman"/>
          <w:b/>
          <w:spacing w:val="8"/>
          <w:kern w:val="0"/>
          <w:szCs w:val="21"/>
        </w:rPr>
      </w:pPr>
      <w:r>
        <w:rPr>
          <w:rFonts w:hint="default" w:ascii="Times New Roman" w:hAnsi="Times New Roman" w:cs="Times New Roman"/>
          <w:b/>
          <w:spacing w:val="8"/>
          <w:kern w:val="0"/>
          <w:szCs w:val="21"/>
        </w:rPr>
        <w:t xml:space="preserve">2.2落实政府采购政策需满足的资格要求：无。 </w:t>
      </w:r>
    </w:p>
    <w:p w14:paraId="7909D745">
      <w:pPr>
        <w:spacing w:line="360" w:lineRule="auto"/>
        <w:ind w:firstLine="458" w:firstLineChars="202"/>
        <w:rPr>
          <w:rFonts w:hint="default" w:ascii="Times New Roman" w:hAnsi="Times New Roman" w:cs="Times New Roman"/>
          <w:b/>
          <w:szCs w:val="21"/>
        </w:rPr>
      </w:pPr>
      <w:r>
        <w:rPr>
          <w:rFonts w:hint="default" w:ascii="Times New Roman" w:hAnsi="Times New Roman" w:cs="Times New Roman"/>
          <w:b/>
          <w:spacing w:val="8"/>
          <w:kern w:val="0"/>
          <w:szCs w:val="21"/>
        </w:rPr>
        <w:t>2.3采购人根据采购项目的特殊要求规定的特定条件，并提供符合特殊要求的证明</w:t>
      </w:r>
      <w:r>
        <w:rPr>
          <w:rFonts w:hint="default" w:ascii="Times New Roman" w:hAnsi="Times New Roman" w:cs="Times New Roman"/>
          <w:b/>
          <w:szCs w:val="21"/>
        </w:rPr>
        <w:t>材料或者情况</w:t>
      </w:r>
      <w:r>
        <w:rPr>
          <w:rFonts w:hint="default" w:ascii="Times New Roman" w:hAnsi="Times New Roman" w:cs="Times New Roman"/>
          <w:b/>
          <w:spacing w:val="8"/>
          <w:kern w:val="0"/>
          <w:szCs w:val="21"/>
        </w:rPr>
        <w:t>说明：</w:t>
      </w:r>
      <w:r>
        <w:rPr>
          <w:rFonts w:hint="default" w:ascii="Times New Roman" w:hAnsi="Times New Roman" w:cs="Times New Roman"/>
          <w:b/>
          <w:spacing w:val="8"/>
          <w:kern w:val="0"/>
          <w:szCs w:val="21"/>
          <w:lang w:val="en-US" w:eastAsia="zh-CN"/>
        </w:rPr>
        <w:t>无</w:t>
      </w:r>
      <w:r>
        <w:rPr>
          <w:rFonts w:hint="default" w:ascii="Times New Roman" w:hAnsi="Times New Roman" w:cs="Times New Roman"/>
          <w:b/>
          <w:bCs/>
          <w:szCs w:val="21"/>
        </w:rPr>
        <w:t>。</w:t>
      </w:r>
    </w:p>
    <w:p w14:paraId="7D67AD28">
      <w:pPr>
        <w:spacing w:line="360" w:lineRule="auto"/>
        <w:ind w:firstLine="426" w:firstLineChars="202"/>
        <w:rPr>
          <w:rFonts w:hint="default" w:ascii="Times New Roman" w:hAnsi="Times New Roman" w:cs="Times New Roman"/>
          <w:b/>
          <w:szCs w:val="21"/>
        </w:rPr>
      </w:pPr>
      <w:r>
        <w:rPr>
          <w:rFonts w:hint="default" w:ascii="Times New Roman" w:hAnsi="Times New Roman" w:cs="Times New Roman"/>
          <w:b/>
          <w:szCs w:val="21"/>
        </w:rPr>
        <w:t>2.</w:t>
      </w:r>
      <w:r>
        <w:rPr>
          <w:rFonts w:hint="default" w:ascii="Times New Roman" w:hAnsi="Times New Roman" w:cs="Times New Roman"/>
          <w:b/>
          <w:szCs w:val="21"/>
          <w:lang w:val="en-US" w:eastAsia="zh-CN"/>
        </w:rPr>
        <w:t>4</w:t>
      </w:r>
      <w:r>
        <w:rPr>
          <w:rFonts w:hint="default" w:ascii="Times New Roman" w:hAnsi="Times New Roman" w:cs="Times New Roman"/>
          <w:b/>
          <w:szCs w:val="21"/>
        </w:rPr>
        <w:t xml:space="preserve"> 拒绝下述供应商参加本次招标活动：</w:t>
      </w:r>
    </w:p>
    <w:p w14:paraId="71852016">
      <w:pPr>
        <w:spacing w:line="360" w:lineRule="auto"/>
        <w:ind w:firstLine="424" w:firstLineChars="202"/>
        <w:rPr>
          <w:rFonts w:hint="default" w:ascii="Times New Roman" w:hAnsi="Times New Roman" w:cs="Times New Roman"/>
          <w:bCs/>
          <w:szCs w:val="21"/>
        </w:rPr>
      </w:pPr>
      <w:r>
        <w:rPr>
          <w:rFonts w:hint="default" w:ascii="Times New Roman" w:hAnsi="Times New Roman" w:cs="Times New Roman"/>
          <w:bCs/>
          <w:szCs w:val="21"/>
        </w:rPr>
        <w:t>（1）单位负责人为同一人或者存在直接控股、管理关系的不同供应商，不得参加同一合同项下的政府采购活动。</w:t>
      </w:r>
    </w:p>
    <w:p w14:paraId="61E2B196">
      <w:pPr>
        <w:spacing w:line="360" w:lineRule="auto"/>
        <w:ind w:firstLine="424" w:firstLineChars="202"/>
        <w:rPr>
          <w:rFonts w:hint="default" w:ascii="Times New Roman" w:hAnsi="Times New Roman" w:cs="Times New Roman"/>
          <w:bCs/>
          <w:szCs w:val="21"/>
        </w:rPr>
      </w:pPr>
      <w:r>
        <w:rPr>
          <w:rFonts w:hint="default" w:ascii="Times New Roman" w:hAnsi="Times New Roman" w:cs="Times New Roman"/>
          <w:bCs/>
          <w:szCs w:val="21"/>
        </w:rPr>
        <w:t>（2）为采购项目提供整体设计、规范编制或者项目管理、监理、检测等服务的供应商，不得参加本项目的采购活动。</w:t>
      </w:r>
    </w:p>
    <w:p w14:paraId="2195322C">
      <w:pPr>
        <w:spacing w:line="360" w:lineRule="auto"/>
        <w:ind w:firstLine="424" w:firstLineChars="202"/>
        <w:rPr>
          <w:rFonts w:hint="default" w:ascii="Times New Roman" w:hAnsi="Times New Roman" w:cs="Times New Roman"/>
          <w:bCs/>
          <w:szCs w:val="21"/>
        </w:rPr>
      </w:pPr>
      <w:r>
        <w:rPr>
          <w:rFonts w:hint="default" w:ascii="Times New Roman" w:hAnsi="Times New Roman" w:cs="Times New Roman"/>
          <w:bCs/>
          <w:szCs w:val="21"/>
        </w:rPr>
        <w:t>（3）供应商被“信用中国”网站（www.creditchina.gov.cn）、“中国政府采购网”（www.ccgp.gov.cn）列入失信被执行人、</w:t>
      </w:r>
      <w:r>
        <w:rPr>
          <w:rFonts w:hint="default" w:ascii="Times New Roman" w:hAnsi="Times New Roman" w:cs="Times New Roman"/>
          <w:bCs/>
          <w:szCs w:val="21"/>
          <w:lang w:eastAsia="zh-CN"/>
        </w:rPr>
        <w:t>重大税收违法失信主体名单</w:t>
      </w:r>
      <w:r>
        <w:rPr>
          <w:rFonts w:hint="default" w:ascii="Times New Roman" w:hAnsi="Times New Roman" w:cs="Times New Roman"/>
          <w:bCs/>
          <w:szCs w:val="21"/>
        </w:rPr>
        <w:t>、政府采购严重违法失信行为记录名单。</w:t>
      </w:r>
    </w:p>
    <w:p w14:paraId="602C3108">
      <w:pPr>
        <w:spacing w:line="360" w:lineRule="auto"/>
        <w:ind w:firstLine="420" w:firstLineChars="200"/>
        <w:rPr>
          <w:rFonts w:hint="default" w:ascii="Times New Roman" w:hAnsi="Times New Roman" w:cs="Times New Roman"/>
          <w:bCs/>
          <w:szCs w:val="21"/>
        </w:rPr>
      </w:pPr>
    </w:p>
    <w:p w14:paraId="4E7D58FA">
      <w:pPr>
        <w:widowControl/>
        <w:spacing w:line="360" w:lineRule="auto"/>
        <w:rPr>
          <w:rFonts w:hint="default" w:ascii="Times New Roman" w:hAnsi="Times New Roman" w:cs="Times New Roman"/>
          <w:b/>
          <w:spacing w:val="8"/>
          <w:kern w:val="0"/>
          <w:sz w:val="24"/>
        </w:rPr>
      </w:pPr>
      <w:r>
        <w:rPr>
          <w:rFonts w:hint="default" w:ascii="Times New Roman" w:hAnsi="Times New Roman" w:cs="Times New Roman"/>
          <w:b/>
          <w:spacing w:val="8"/>
          <w:kern w:val="0"/>
          <w:sz w:val="24"/>
        </w:rPr>
        <w:t>三、获取招标文件</w:t>
      </w:r>
    </w:p>
    <w:p w14:paraId="0305831F">
      <w:pPr>
        <w:widowControl/>
        <w:shd w:val="clear" w:color="auto" w:fill="FFFFFF"/>
        <w:spacing w:line="360" w:lineRule="auto"/>
        <w:ind w:firstLine="454" w:firstLineChars="200"/>
        <w:jc w:val="left"/>
        <w:rPr>
          <w:rFonts w:hint="default" w:ascii="Times New Roman" w:hAnsi="Times New Roman" w:cs="Times New Roman"/>
          <w:b/>
          <w:bCs/>
          <w:spacing w:val="8"/>
          <w:kern w:val="0"/>
          <w:szCs w:val="21"/>
        </w:rPr>
      </w:pPr>
      <w:r>
        <w:rPr>
          <w:rFonts w:hint="default" w:ascii="Times New Roman" w:hAnsi="Times New Roman" w:cs="Times New Roman"/>
          <w:b/>
          <w:bCs/>
          <w:spacing w:val="8"/>
          <w:kern w:val="0"/>
          <w:szCs w:val="21"/>
        </w:rPr>
        <w:t>3.1时间：自招标文件公告发布之日起5个工作日</w:t>
      </w:r>
    </w:p>
    <w:p w14:paraId="30456C4D">
      <w:pPr>
        <w:widowControl/>
        <w:shd w:val="clear" w:color="auto" w:fill="FFFFFF"/>
        <w:spacing w:line="360" w:lineRule="auto"/>
        <w:ind w:firstLine="452" w:firstLineChars="200"/>
        <w:jc w:val="left"/>
        <w:rPr>
          <w:rFonts w:hint="default" w:ascii="Times New Roman" w:hAnsi="Times New Roman" w:cs="Times New Roman"/>
          <w:spacing w:val="8"/>
          <w:kern w:val="0"/>
          <w:szCs w:val="21"/>
        </w:rPr>
      </w:pPr>
      <w:r>
        <w:rPr>
          <w:rFonts w:hint="default" w:ascii="Times New Roman" w:hAnsi="Times New Roman" w:cs="Times New Roman"/>
          <w:spacing w:val="8"/>
          <w:kern w:val="0"/>
          <w:szCs w:val="21"/>
        </w:rPr>
        <w:t>3.2地点：</w:t>
      </w:r>
      <w:r>
        <w:rPr>
          <w:rFonts w:hint="eastAsia" w:ascii="宋体" w:hAnsi="宋体" w:cs="宋体"/>
          <w:spacing w:val="8"/>
          <w:kern w:val="0"/>
          <w:szCs w:val="21"/>
          <w:highlight w:val="none"/>
        </w:rPr>
        <w:t>苏采云系统注册登记成功后系统内免费下载。</w:t>
      </w:r>
      <w:bookmarkStart w:id="27" w:name="_GoBack"/>
      <w:bookmarkEnd w:id="27"/>
    </w:p>
    <w:p w14:paraId="58FA4238">
      <w:pPr>
        <w:widowControl/>
        <w:shd w:val="clear" w:color="auto" w:fill="FFFFFF"/>
        <w:spacing w:line="360" w:lineRule="auto"/>
        <w:ind w:firstLine="452" w:firstLineChars="200"/>
        <w:jc w:val="left"/>
        <w:rPr>
          <w:rFonts w:hint="default" w:ascii="Times New Roman" w:hAnsi="Times New Roman" w:cs="Times New Roman"/>
          <w:spacing w:val="8"/>
          <w:kern w:val="0"/>
          <w:szCs w:val="21"/>
        </w:rPr>
      </w:pPr>
      <w:r>
        <w:rPr>
          <w:rFonts w:hint="default" w:ascii="Times New Roman" w:hAnsi="Times New Roman" w:cs="Times New Roman"/>
          <w:spacing w:val="8"/>
          <w:kern w:val="0"/>
          <w:szCs w:val="21"/>
        </w:rPr>
        <w:t>3.3方式：</w:t>
      </w:r>
      <w:r>
        <w:rPr>
          <w:rFonts w:hint="eastAsia" w:ascii="宋体" w:hAnsi="宋体" w:cs="宋体"/>
          <w:spacing w:val="8"/>
          <w:kern w:val="0"/>
          <w:szCs w:val="21"/>
          <w:highlight w:val="none"/>
        </w:rPr>
        <w:t>采用网上注册登记方式</w:t>
      </w:r>
    </w:p>
    <w:p w14:paraId="3003F2A8">
      <w:pPr>
        <w:widowControl/>
        <w:shd w:val="clear" w:color="auto" w:fill="FFFFFF"/>
        <w:spacing w:line="360" w:lineRule="auto"/>
        <w:ind w:firstLine="452" w:firstLineChars="200"/>
        <w:jc w:val="left"/>
        <w:rPr>
          <w:rFonts w:hint="default" w:ascii="Times New Roman" w:hAnsi="Times New Roman" w:cs="Times New Roman"/>
          <w:spacing w:val="8"/>
          <w:kern w:val="0"/>
          <w:szCs w:val="21"/>
        </w:rPr>
      </w:pPr>
      <w:r>
        <w:rPr>
          <w:rFonts w:hint="default" w:ascii="Times New Roman" w:hAnsi="Times New Roman" w:cs="Times New Roman"/>
          <w:spacing w:val="8"/>
          <w:kern w:val="0"/>
          <w:szCs w:val="21"/>
        </w:rPr>
        <w:t>3.4售价：0.00元。</w:t>
      </w:r>
    </w:p>
    <w:p w14:paraId="018447B4">
      <w:pPr>
        <w:widowControl/>
        <w:spacing w:line="360" w:lineRule="auto"/>
        <w:ind w:firstLine="360"/>
        <w:rPr>
          <w:rFonts w:hint="default" w:ascii="Times New Roman" w:hAnsi="Times New Roman" w:cs="Times New Roman"/>
          <w:szCs w:val="21"/>
        </w:rPr>
      </w:pPr>
    </w:p>
    <w:p w14:paraId="3479B6F6">
      <w:pPr>
        <w:widowControl/>
        <w:spacing w:line="360" w:lineRule="auto"/>
        <w:rPr>
          <w:rFonts w:hint="default" w:ascii="Times New Roman" w:hAnsi="Times New Roman" w:cs="Times New Roman"/>
          <w:b/>
          <w:spacing w:val="8"/>
          <w:kern w:val="0"/>
          <w:sz w:val="24"/>
        </w:rPr>
      </w:pPr>
      <w:r>
        <w:rPr>
          <w:rFonts w:hint="default" w:ascii="Times New Roman" w:hAnsi="Times New Roman" w:cs="Times New Roman"/>
          <w:b/>
          <w:spacing w:val="8"/>
          <w:kern w:val="0"/>
          <w:sz w:val="24"/>
        </w:rPr>
        <w:t>四、提交投标文件截止时间、开标时间和地点</w:t>
      </w:r>
    </w:p>
    <w:p w14:paraId="384FF6B2">
      <w:pPr>
        <w:widowControl/>
        <w:spacing w:line="360" w:lineRule="auto"/>
        <w:ind w:firstLine="370"/>
        <w:rPr>
          <w:rFonts w:hint="default" w:ascii="Times New Roman" w:hAnsi="Times New Roman" w:cs="Times New Roman"/>
          <w:spacing w:val="8"/>
          <w:kern w:val="0"/>
          <w:szCs w:val="21"/>
        </w:rPr>
      </w:pPr>
      <w:r>
        <w:rPr>
          <w:rFonts w:hint="default" w:ascii="Times New Roman" w:hAnsi="Times New Roman" w:cs="Times New Roman"/>
          <w:spacing w:val="8"/>
          <w:kern w:val="0"/>
          <w:szCs w:val="21"/>
        </w:rPr>
        <w:t>4.1</w:t>
      </w:r>
      <w:r>
        <w:rPr>
          <w:rFonts w:hint="default" w:ascii="Times New Roman" w:hAnsi="Times New Roman" w:cs="Times New Roman"/>
          <w:spacing w:val="15"/>
          <w:kern w:val="0"/>
          <w:szCs w:val="21"/>
          <w:shd w:val="clear" w:color="auto" w:fill="FFFFFF"/>
        </w:rPr>
        <w:t>提交投标文件截止时间、开标时间：</w:t>
      </w:r>
      <w:r>
        <w:rPr>
          <w:rFonts w:hint="default" w:ascii="Times New Roman" w:hAnsi="Times New Roman" w:cs="Times New Roman"/>
          <w:b/>
          <w:bCs/>
          <w:iCs/>
          <w:spacing w:val="8"/>
          <w:kern w:val="0"/>
          <w:szCs w:val="21"/>
        </w:rPr>
        <w:t>202</w:t>
      </w:r>
      <w:r>
        <w:rPr>
          <w:rFonts w:hint="default" w:ascii="Times New Roman" w:hAnsi="Times New Roman" w:cs="Times New Roman"/>
          <w:b/>
          <w:bCs/>
          <w:iCs/>
          <w:spacing w:val="8"/>
          <w:kern w:val="0"/>
          <w:szCs w:val="21"/>
          <w:lang w:val="en-US" w:eastAsia="zh-CN"/>
        </w:rPr>
        <w:t>6</w:t>
      </w:r>
      <w:r>
        <w:rPr>
          <w:rFonts w:hint="default" w:ascii="Times New Roman" w:hAnsi="Times New Roman" w:cs="Times New Roman"/>
          <w:b/>
          <w:bCs/>
          <w:spacing w:val="8"/>
          <w:kern w:val="0"/>
          <w:szCs w:val="21"/>
        </w:rPr>
        <w:t>年</w:t>
      </w:r>
      <w:r>
        <w:rPr>
          <w:rFonts w:hint="default" w:ascii="Times New Roman" w:hAnsi="Times New Roman" w:cs="Times New Roman"/>
          <w:b/>
          <w:bCs/>
          <w:spacing w:val="8"/>
          <w:kern w:val="0"/>
          <w:szCs w:val="21"/>
          <w:lang w:val="en-US" w:eastAsia="zh-CN"/>
        </w:rPr>
        <w:t xml:space="preserve"> </w:t>
      </w:r>
      <w:r>
        <w:rPr>
          <w:rFonts w:hint="default" w:ascii="Times New Roman" w:hAnsi="Times New Roman" w:cs="Times New Roman"/>
          <w:b/>
          <w:bCs/>
          <w:spacing w:val="8"/>
          <w:kern w:val="0"/>
          <w:szCs w:val="21"/>
        </w:rPr>
        <w:t>月</w:t>
      </w:r>
      <w:r>
        <w:rPr>
          <w:rFonts w:hint="default" w:ascii="Times New Roman" w:hAnsi="Times New Roman" w:cs="Times New Roman"/>
          <w:b/>
          <w:bCs/>
          <w:spacing w:val="8"/>
          <w:kern w:val="0"/>
          <w:szCs w:val="21"/>
          <w:lang w:val="en-US" w:eastAsia="zh-CN"/>
        </w:rPr>
        <w:t xml:space="preserve"> </w:t>
      </w:r>
      <w:r>
        <w:rPr>
          <w:rFonts w:hint="default" w:ascii="Times New Roman" w:hAnsi="Times New Roman" w:cs="Times New Roman"/>
          <w:b/>
          <w:bCs/>
          <w:spacing w:val="8"/>
          <w:kern w:val="0"/>
          <w:szCs w:val="21"/>
        </w:rPr>
        <w:t>日</w:t>
      </w:r>
      <w:r>
        <w:rPr>
          <w:rFonts w:hint="default" w:ascii="Times New Roman" w:hAnsi="Times New Roman" w:cs="Times New Roman"/>
          <w:b/>
          <w:bCs/>
        </w:rPr>
        <w:t>14</w:t>
      </w:r>
      <w:r>
        <w:rPr>
          <w:rFonts w:hint="default" w:ascii="Times New Roman" w:hAnsi="Times New Roman" w:cs="Times New Roman"/>
          <w:b/>
          <w:bCs/>
          <w:spacing w:val="8"/>
          <w:kern w:val="0"/>
          <w:szCs w:val="21"/>
        </w:rPr>
        <w:t>点</w:t>
      </w:r>
      <w:r>
        <w:rPr>
          <w:rFonts w:hint="default" w:ascii="Times New Roman" w:hAnsi="Times New Roman" w:cs="Times New Roman"/>
          <w:b/>
          <w:bCs/>
        </w:rPr>
        <w:t>30</w:t>
      </w:r>
      <w:r>
        <w:rPr>
          <w:rFonts w:hint="default" w:ascii="Times New Roman" w:hAnsi="Times New Roman" w:cs="Times New Roman"/>
          <w:b/>
          <w:bCs/>
          <w:spacing w:val="8"/>
          <w:kern w:val="0"/>
          <w:szCs w:val="21"/>
        </w:rPr>
        <w:t>分</w:t>
      </w:r>
      <w:r>
        <w:rPr>
          <w:rFonts w:hint="default" w:ascii="Times New Roman" w:hAnsi="Times New Roman" w:cs="Times New Roman"/>
          <w:spacing w:val="8"/>
          <w:kern w:val="0"/>
          <w:szCs w:val="21"/>
        </w:rPr>
        <w:t>（北京时间）</w:t>
      </w:r>
    </w:p>
    <w:p w14:paraId="266EE4FB">
      <w:pPr>
        <w:pStyle w:val="42"/>
        <w:spacing w:before="0" w:beforeAutospacing="0" w:after="0" w:afterAutospacing="0" w:line="360" w:lineRule="auto"/>
        <w:ind w:firstLine="375"/>
        <w:rPr>
          <w:rFonts w:hint="default" w:ascii="Times New Roman" w:hAnsi="Times New Roman" w:cs="Times New Roman"/>
          <w:spacing w:val="15"/>
          <w:sz w:val="21"/>
          <w:szCs w:val="21"/>
          <w:shd w:val="clear" w:color="auto" w:fill="FFFFFF"/>
        </w:rPr>
      </w:pPr>
      <w:r>
        <w:rPr>
          <w:rFonts w:hint="default" w:ascii="Times New Roman" w:hAnsi="Times New Roman" w:cs="Times New Roman"/>
          <w:spacing w:val="15"/>
          <w:sz w:val="21"/>
          <w:szCs w:val="21"/>
          <w:shd w:val="clear" w:color="auto" w:fill="FFFFFF"/>
        </w:rPr>
        <w:t>4.2提交投标文件地点：江苏省政府采购管理交易系统（苏采云）（以下简称“苏采云”）（网址： http://jszfcg.jsczt.cn/）</w:t>
      </w:r>
    </w:p>
    <w:p w14:paraId="0431AF2B">
      <w:pPr>
        <w:pStyle w:val="42"/>
        <w:spacing w:before="0" w:beforeAutospacing="0" w:after="0" w:afterAutospacing="0" w:line="360" w:lineRule="auto"/>
        <w:ind w:firstLine="375"/>
        <w:rPr>
          <w:rFonts w:hint="default" w:ascii="Times New Roman" w:hAnsi="Times New Roman" w:cs="Times New Roman"/>
          <w:spacing w:val="15"/>
          <w:sz w:val="21"/>
          <w:szCs w:val="21"/>
          <w:shd w:val="clear" w:color="auto" w:fill="FFFFFF"/>
        </w:rPr>
      </w:pPr>
      <w:r>
        <w:rPr>
          <w:rFonts w:hint="default" w:ascii="Times New Roman" w:hAnsi="Times New Roman" w:cs="Times New Roman"/>
          <w:spacing w:val="15"/>
          <w:sz w:val="21"/>
          <w:szCs w:val="21"/>
          <w:shd w:val="clear" w:color="auto" w:fill="FFFFFF"/>
        </w:rPr>
        <w:t>4.3开标地点：“苏采云”网上开标大厅。</w:t>
      </w:r>
    </w:p>
    <w:p w14:paraId="06FC6B33">
      <w:pPr>
        <w:widowControl/>
        <w:spacing w:line="360" w:lineRule="auto"/>
        <w:ind w:firstLine="370"/>
        <w:rPr>
          <w:rFonts w:hint="default" w:ascii="Times New Roman" w:hAnsi="Times New Roman" w:cs="Times New Roman"/>
          <w:spacing w:val="8"/>
          <w:kern w:val="0"/>
          <w:szCs w:val="21"/>
        </w:rPr>
      </w:pPr>
    </w:p>
    <w:p w14:paraId="6D84987D">
      <w:pPr>
        <w:widowControl/>
        <w:spacing w:line="360" w:lineRule="auto"/>
        <w:rPr>
          <w:rFonts w:hint="default" w:ascii="Times New Roman" w:hAnsi="Times New Roman" w:cs="Times New Roman"/>
          <w:b/>
          <w:spacing w:val="8"/>
          <w:kern w:val="0"/>
          <w:sz w:val="24"/>
        </w:rPr>
      </w:pPr>
      <w:r>
        <w:rPr>
          <w:rFonts w:hint="default" w:ascii="Times New Roman" w:hAnsi="Times New Roman" w:cs="Times New Roman"/>
          <w:b/>
          <w:spacing w:val="8"/>
          <w:kern w:val="0"/>
          <w:sz w:val="24"/>
        </w:rPr>
        <w:t>五、公告期限</w:t>
      </w:r>
    </w:p>
    <w:p w14:paraId="2BD90825">
      <w:pPr>
        <w:widowControl/>
        <w:spacing w:line="360" w:lineRule="auto"/>
        <w:ind w:firstLine="370"/>
        <w:rPr>
          <w:rFonts w:hint="default" w:ascii="Times New Roman" w:hAnsi="Times New Roman" w:cs="Times New Roman"/>
          <w:spacing w:val="8"/>
          <w:kern w:val="0"/>
          <w:szCs w:val="21"/>
        </w:rPr>
      </w:pPr>
      <w:r>
        <w:rPr>
          <w:rFonts w:hint="default" w:ascii="Times New Roman" w:hAnsi="Times New Roman" w:cs="Times New Roman"/>
          <w:spacing w:val="8"/>
          <w:kern w:val="0"/>
          <w:szCs w:val="21"/>
        </w:rPr>
        <w:t>自本公告发布之日起5个工作日。</w:t>
      </w:r>
    </w:p>
    <w:p w14:paraId="6E37DD7B">
      <w:pPr>
        <w:widowControl/>
        <w:spacing w:line="360" w:lineRule="auto"/>
        <w:ind w:firstLine="370"/>
        <w:rPr>
          <w:rFonts w:hint="default" w:ascii="Times New Roman" w:hAnsi="Times New Roman" w:cs="Times New Roman"/>
          <w:spacing w:val="8"/>
          <w:kern w:val="0"/>
          <w:szCs w:val="21"/>
        </w:rPr>
      </w:pPr>
    </w:p>
    <w:p w14:paraId="0A71F1A0">
      <w:pPr>
        <w:widowControl/>
        <w:spacing w:line="360" w:lineRule="auto"/>
        <w:rPr>
          <w:rFonts w:hint="default" w:ascii="Times New Roman" w:hAnsi="Times New Roman" w:cs="Times New Roman"/>
          <w:b/>
          <w:spacing w:val="8"/>
          <w:kern w:val="0"/>
          <w:sz w:val="24"/>
        </w:rPr>
      </w:pPr>
      <w:r>
        <w:rPr>
          <w:rFonts w:hint="default" w:ascii="Times New Roman" w:hAnsi="Times New Roman" w:cs="Times New Roman"/>
          <w:b/>
          <w:spacing w:val="8"/>
          <w:kern w:val="0"/>
          <w:sz w:val="24"/>
        </w:rPr>
        <w:t>六、其他补充事宜</w:t>
      </w:r>
    </w:p>
    <w:p w14:paraId="5A4005E8">
      <w:pPr>
        <w:widowControl/>
        <w:shd w:val="clear" w:color="auto" w:fill="FFFFFF" w:themeFill="background1"/>
        <w:spacing w:line="360" w:lineRule="auto"/>
        <w:ind w:firstLine="363" w:firstLineChars="173"/>
        <w:rPr>
          <w:rFonts w:hint="default" w:ascii="Times New Roman" w:hAnsi="Times New Roman" w:cs="Times New Roman"/>
          <w:szCs w:val="21"/>
          <w:lang w:val="zh-CN"/>
        </w:rPr>
      </w:pPr>
      <w:r>
        <w:rPr>
          <w:rFonts w:hint="default" w:ascii="Times New Roman" w:hAnsi="Times New Roman" w:cs="Times New Roman"/>
          <w:szCs w:val="21"/>
          <w:lang w:val="zh-CN"/>
        </w:rPr>
        <w:t>6.1本项目在</w:t>
      </w:r>
      <w:r>
        <w:rPr>
          <w:rFonts w:hint="default" w:ascii="Times New Roman" w:hAnsi="Times New Roman" w:cs="Times New Roman"/>
          <w:szCs w:val="21"/>
        </w:rPr>
        <w:t xml:space="preserve"> </w:t>
      </w:r>
      <w:r>
        <w:rPr>
          <w:rFonts w:hint="default" w:ascii="Times New Roman" w:hAnsi="Times New Roman" w:cs="Times New Roman"/>
          <w:b/>
          <w:bCs/>
          <w:szCs w:val="21"/>
          <w:lang w:val="zh-CN"/>
        </w:rPr>
        <w:t>南京公共采购信息网</w:t>
      </w:r>
      <w:r>
        <w:rPr>
          <w:rFonts w:hint="default" w:ascii="Times New Roman" w:hAnsi="Times New Roman" w:cs="Times New Roman"/>
          <w:b/>
          <w:bCs/>
        </w:rPr>
        <w:t>、</w:t>
      </w:r>
      <w:r>
        <w:rPr>
          <w:rFonts w:hint="default" w:ascii="Times New Roman" w:hAnsi="Times New Roman" w:cs="Times New Roman"/>
          <w:b/>
          <w:bCs/>
          <w:szCs w:val="21"/>
          <w:lang w:val="zh-CN"/>
        </w:rPr>
        <w:t>江苏政府采购网、</w:t>
      </w:r>
      <w:r>
        <w:rPr>
          <w:rFonts w:hint="default" w:ascii="Times New Roman" w:hAnsi="Times New Roman" w:cs="Times New Roman"/>
          <w:b/>
          <w:bCs/>
          <w:szCs w:val="21"/>
        </w:rPr>
        <w:t>中国政府采购网</w:t>
      </w:r>
      <w:r>
        <w:rPr>
          <w:rFonts w:hint="default" w:ascii="Times New Roman" w:hAnsi="Times New Roman" w:cs="Times New Roman"/>
          <w:szCs w:val="21"/>
          <w:lang w:val="zh-CN"/>
        </w:rPr>
        <w:t>网站发布公告。</w:t>
      </w:r>
    </w:p>
    <w:p w14:paraId="3788F043">
      <w:pPr>
        <w:widowControl/>
        <w:shd w:val="clear" w:color="auto" w:fill="FFFFFF" w:themeFill="background1"/>
        <w:spacing w:line="360" w:lineRule="auto"/>
        <w:ind w:firstLine="363" w:firstLineChars="173"/>
        <w:rPr>
          <w:rFonts w:hint="default" w:ascii="Times New Roman" w:hAnsi="Times New Roman" w:cs="Times New Roman"/>
          <w:bCs/>
          <w:szCs w:val="21"/>
        </w:rPr>
      </w:pPr>
      <w:r>
        <w:rPr>
          <w:rFonts w:hint="default" w:ascii="Times New Roman" w:hAnsi="Times New Roman" w:cs="Times New Roman"/>
          <w:szCs w:val="21"/>
          <w:lang w:val="zh-CN"/>
        </w:rPr>
        <w:t>6.</w:t>
      </w:r>
      <w:r>
        <w:rPr>
          <w:rFonts w:hint="default" w:ascii="Times New Roman" w:hAnsi="Times New Roman" w:cs="Times New Roman"/>
          <w:szCs w:val="21"/>
        </w:rPr>
        <w:t>2</w:t>
      </w:r>
      <w:r>
        <w:rPr>
          <w:rFonts w:hint="eastAsia" w:ascii="宋体" w:hAnsi="宋体" w:cs="宋体"/>
          <w:bCs/>
          <w:szCs w:val="21"/>
          <w:lang w:eastAsia="zh-CN"/>
        </w:rPr>
        <w:t>勘查</w:t>
      </w:r>
      <w:r>
        <w:rPr>
          <w:rFonts w:hint="default" w:ascii="Times New Roman" w:hAnsi="Times New Roman" w:cs="Times New Roman"/>
          <w:bCs/>
          <w:szCs w:val="21"/>
        </w:rPr>
        <w:t>现场：无。</w:t>
      </w:r>
    </w:p>
    <w:p w14:paraId="71B169D4">
      <w:pPr>
        <w:widowControl/>
        <w:shd w:val="clear" w:color="auto" w:fill="FFFFFF" w:themeFill="background1"/>
        <w:spacing w:line="360" w:lineRule="auto"/>
        <w:ind w:firstLine="363" w:firstLineChars="173"/>
        <w:rPr>
          <w:rFonts w:hint="default" w:ascii="Times New Roman" w:hAnsi="Times New Roman" w:cs="Times New Roman"/>
          <w:bCs/>
          <w:szCs w:val="21"/>
        </w:rPr>
      </w:pPr>
      <w:r>
        <w:rPr>
          <w:rFonts w:hint="default" w:ascii="Times New Roman" w:hAnsi="Times New Roman" w:cs="Times New Roman"/>
          <w:bCs/>
          <w:szCs w:val="21"/>
        </w:rPr>
        <w:t>6.3供应商通过“苏采云”（网址：http://jszfcg.jsczt.cn/）参与政府采购项目，需要办理江苏省政府采购数字证书及电子签章的，详见苏采云官网首页“新CA办理指南”。供应商通过苏采云官网首页进行供应商注册及CA绑定。CA登录后，供应商按《苏采云系统供应商操作手册》进行操作。</w:t>
      </w:r>
    </w:p>
    <w:p w14:paraId="034DD50B">
      <w:pPr>
        <w:pStyle w:val="61"/>
        <w:wordWrap w:val="0"/>
        <w:spacing w:line="360" w:lineRule="auto"/>
        <w:rPr>
          <w:rFonts w:hint="default" w:ascii="Times New Roman" w:hAnsi="Times New Roman" w:cs="Times New Roman"/>
          <w:bCs/>
          <w:szCs w:val="21"/>
        </w:rPr>
      </w:pPr>
      <w:r>
        <w:rPr>
          <w:rFonts w:hint="default" w:ascii="Times New Roman" w:hAnsi="Times New Roman" w:cs="Times New Roman"/>
          <w:bCs/>
          <w:szCs w:val="21"/>
        </w:rPr>
        <w:t>操作手册下载地址：http://www.ccgp-jiangsu.gov.cn/jiangsu/zlxz/ee/ee3a4bc5a3454aa2b0d9312230633ce9.html</w:t>
      </w:r>
    </w:p>
    <w:p w14:paraId="61831672">
      <w:pPr>
        <w:pStyle w:val="61"/>
        <w:spacing w:line="360" w:lineRule="auto"/>
        <w:rPr>
          <w:rFonts w:hint="default" w:ascii="Times New Roman" w:hAnsi="Times New Roman" w:cs="Times New Roman"/>
          <w:bCs/>
          <w:szCs w:val="21"/>
        </w:rPr>
      </w:pPr>
      <w:r>
        <w:rPr>
          <w:rFonts w:hint="default" w:ascii="Times New Roman" w:hAnsi="Times New Roman" w:cs="Times New Roman"/>
          <w:bCs/>
          <w:szCs w:val="21"/>
        </w:rPr>
        <w:t>首次登录“苏采云”系统的新用户，登录网址后，点击“用户注册”--“新CA办理指南”－－获取CA后绑定、登录系统－－采购项目参与－－下载采购文件（文件后缀名为“.kedt”）。</w:t>
      </w:r>
    </w:p>
    <w:p w14:paraId="343894A3">
      <w:pPr>
        <w:pStyle w:val="61"/>
        <w:spacing w:line="360" w:lineRule="auto"/>
        <w:rPr>
          <w:rFonts w:hint="default" w:ascii="Times New Roman" w:hAnsi="Times New Roman" w:cs="Times New Roman"/>
          <w:bCs/>
          <w:szCs w:val="21"/>
        </w:rPr>
      </w:pPr>
      <w:r>
        <w:rPr>
          <w:rFonts w:hint="default" w:ascii="Times New Roman" w:hAnsi="Times New Roman" w:cs="Times New Roman"/>
          <w:bCs/>
          <w:szCs w:val="21"/>
        </w:rPr>
        <w:t>“苏采云”南京地区客服热线025-83633744、025-83633743。</w:t>
      </w:r>
    </w:p>
    <w:p w14:paraId="11A68524">
      <w:pPr>
        <w:pStyle w:val="61"/>
        <w:spacing w:line="360" w:lineRule="auto"/>
        <w:rPr>
          <w:rFonts w:hint="default" w:ascii="Times New Roman" w:hAnsi="Times New Roman" w:cs="Times New Roman"/>
        </w:rPr>
      </w:pPr>
      <w:r>
        <w:rPr>
          <w:rFonts w:hint="default" w:ascii="Times New Roman" w:hAnsi="Times New Roman" w:cs="Times New Roman"/>
          <w:bCs/>
          <w:szCs w:val="21"/>
        </w:rPr>
        <w:t>有关本次招标的事项若存在变动或修改，请及时关注“江苏政府采购网”（www.ccgp-jiangsu.gov.cn）更正公告。</w:t>
      </w:r>
    </w:p>
    <w:p w14:paraId="6C31B4C0">
      <w:pPr>
        <w:widowControl/>
        <w:shd w:val="clear" w:color="auto" w:fill="FFFFFF" w:themeFill="background1"/>
        <w:spacing w:line="360" w:lineRule="auto"/>
        <w:ind w:firstLine="365" w:firstLineChars="173"/>
        <w:rPr>
          <w:rFonts w:hint="default" w:ascii="Times New Roman" w:hAnsi="Times New Roman" w:cs="Times New Roman"/>
          <w:b/>
          <w:bCs/>
          <w:szCs w:val="21"/>
          <w:lang w:val="zh-CN"/>
        </w:rPr>
      </w:pPr>
      <w:r>
        <w:rPr>
          <w:rFonts w:hint="default" w:ascii="Times New Roman" w:hAnsi="Times New Roman" w:cs="Times New Roman"/>
          <w:b/>
          <w:bCs/>
          <w:szCs w:val="21"/>
          <w:lang w:val="zh-CN"/>
        </w:rPr>
        <w:t>6.</w:t>
      </w:r>
      <w:r>
        <w:rPr>
          <w:rFonts w:hint="default" w:ascii="Times New Roman" w:hAnsi="Times New Roman" w:cs="Times New Roman"/>
          <w:b/>
          <w:bCs/>
          <w:szCs w:val="21"/>
        </w:rPr>
        <w:t>4政府采购信用承诺</w:t>
      </w:r>
    </w:p>
    <w:p w14:paraId="156ACD42">
      <w:pPr>
        <w:widowControl/>
        <w:wordWrap w:val="0"/>
        <w:spacing w:line="360" w:lineRule="auto"/>
        <w:ind w:firstLine="363" w:firstLineChars="173"/>
        <w:jc w:val="left"/>
        <w:rPr>
          <w:rFonts w:hint="default" w:ascii="Times New Roman" w:hAnsi="Times New Roman" w:cs="Times New Roman"/>
          <w:szCs w:val="21"/>
        </w:rPr>
      </w:pPr>
      <w:r>
        <w:rPr>
          <w:rFonts w:hint="default" w:ascii="Times New Roman" w:hAnsi="Times New Roman" w:cs="Times New Roman"/>
          <w:szCs w:val="21"/>
          <w:lang w:val="zh-CN"/>
        </w:rPr>
        <w:t>根据《关于在政府采购活动中推行信用承诺制的通知》宁财购通〔2021〕5号规定，</w:t>
      </w:r>
      <w:r>
        <w:rPr>
          <w:rFonts w:hint="default" w:ascii="Times New Roman" w:hAnsi="Times New Roman" w:cs="Times New Roman"/>
          <w:szCs w:val="21"/>
        </w:rPr>
        <w:t>参加</w:t>
      </w:r>
      <w:r>
        <w:rPr>
          <w:rFonts w:hint="default" w:ascii="Times New Roman" w:hAnsi="Times New Roman" w:cs="Times New Roman"/>
          <w:szCs w:val="21"/>
          <w:lang w:val="zh-CN"/>
        </w:rPr>
        <w:t>南京地区采购活动的供应商，应以书面形式向采购人或政府采购代理机构作出信用承诺。供应商应尽早做好承诺工作，点击“南京公共采购信息网”</w:t>
      </w:r>
      <w:r>
        <w:rPr>
          <w:rFonts w:hint="default" w:ascii="Times New Roman" w:hAnsi="Times New Roman" w:cs="Times New Roman"/>
          <w:szCs w:val="21"/>
        </w:rPr>
        <w:t>首页</w:t>
      </w:r>
      <w:r>
        <w:rPr>
          <w:rFonts w:hint="default" w:ascii="Times New Roman" w:hAnsi="Times New Roman" w:cs="Times New Roman"/>
          <w:szCs w:val="21"/>
          <w:lang w:val="zh-CN"/>
        </w:rPr>
        <w:t>（https://njgc.jfh.com/）‘南京市政府采购供应商诚信档案’系统链接打开系统页面（http://180.101.238.212:8280/hodeframe2018_cxda/index.action;jsessionid=769BA9C8E1729422E7173B991C8EC1E5）登录（未注册的供应商应先点击‘供应商注册点这里’并按要求完成注册），然后在“信用记录”模块页面点击“信用记录打印”下载本单位《南京市政府采购供应商信用记录表暨信用承诺书》，</w:t>
      </w:r>
      <w:r>
        <w:rPr>
          <w:rFonts w:hint="default" w:ascii="Times New Roman" w:hAnsi="Times New Roman" w:cs="Times New Roman"/>
          <w:b/>
          <w:bCs/>
          <w:szCs w:val="21"/>
          <w:lang w:val="zh-CN"/>
        </w:rPr>
        <w:t>由</w:t>
      </w:r>
      <w:r>
        <w:rPr>
          <w:rFonts w:hint="default" w:ascii="Times New Roman" w:hAnsi="Times New Roman" w:cs="Times New Roman"/>
          <w:b/>
          <w:bCs/>
          <w:szCs w:val="21"/>
        </w:rPr>
        <w:t>法定代表人</w:t>
      </w:r>
      <w:r>
        <w:rPr>
          <w:rFonts w:hint="default" w:ascii="Times New Roman" w:hAnsi="Times New Roman" w:cs="Times New Roman"/>
          <w:b/>
          <w:bCs/>
          <w:szCs w:val="21"/>
          <w:lang w:val="zh-CN"/>
        </w:rPr>
        <w:t>签字并</w:t>
      </w:r>
      <w:r>
        <w:rPr>
          <w:rFonts w:hint="eastAsia" w:cs="Times New Roman"/>
          <w:b/>
          <w:bCs/>
          <w:szCs w:val="21"/>
          <w:lang w:val="en-US" w:eastAsia="zh-CN"/>
        </w:rPr>
        <w:t>加</w:t>
      </w:r>
      <w:r>
        <w:rPr>
          <w:rFonts w:hint="default" w:ascii="Times New Roman" w:hAnsi="Times New Roman" w:cs="Times New Roman"/>
          <w:b/>
          <w:bCs/>
          <w:szCs w:val="21"/>
          <w:lang w:val="zh-CN"/>
        </w:rPr>
        <w:t>盖单位公章，</w:t>
      </w:r>
      <w:r>
        <w:rPr>
          <w:rFonts w:hint="default" w:ascii="Times New Roman" w:hAnsi="Times New Roman" w:cs="Times New Roman"/>
          <w:b/>
          <w:bCs/>
          <w:szCs w:val="21"/>
        </w:rPr>
        <w:t>随响应文件一并递交。</w:t>
      </w:r>
    </w:p>
    <w:p w14:paraId="3A376F6D">
      <w:pPr>
        <w:widowControl/>
        <w:spacing w:line="360" w:lineRule="auto"/>
        <w:ind w:firstLine="363" w:firstLineChars="173"/>
        <w:rPr>
          <w:rFonts w:hint="default" w:ascii="Times New Roman" w:hAnsi="Times New Roman" w:cs="Times New Roman"/>
          <w:szCs w:val="21"/>
          <w:lang w:val="zh-CN"/>
        </w:rPr>
      </w:pPr>
      <w:r>
        <w:rPr>
          <w:rFonts w:hint="default" w:ascii="Times New Roman" w:hAnsi="Times New Roman" w:cs="Times New Roman"/>
          <w:szCs w:val="21"/>
          <w:lang w:val="zh-CN"/>
        </w:rPr>
        <w:t>在政府采购资格审查环节，供应商只需提供书面《南京市政府采购供应商信用记录表暨信用承诺书》，即可替代以下证明材料：</w:t>
      </w:r>
    </w:p>
    <w:p w14:paraId="6B3B4CD5">
      <w:pPr>
        <w:widowControl/>
        <w:spacing w:line="360" w:lineRule="auto"/>
        <w:ind w:firstLine="363" w:firstLineChars="173"/>
        <w:rPr>
          <w:rFonts w:hint="default" w:ascii="Times New Roman" w:hAnsi="Times New Roman" w:cs="Times New Roman"/>
          <w:szCs w:val="21"/>
          <w:lang w:val="zh-CN"/>
        </w:rPr>
      </w:pPr>
      <w:r>
        <w:rPr>
          <w:rFonts w:hint="default" w:ascii="Times New Roman" w:hAnsi="Times New Roman" w:cs="Times New Roman"/>
          <w:szCs w:val="21"/>
          <w:lang w:val="zh-CN"/>
        </w:rPr>
        <w:t>（1）符合国家相关规定的财务状况报告；</w:t>
      </w:r>
    </w:p>
    <w:p w14:paraId="1F5F46E5">
      <w:pPr>
        <w:widowControl/>
        <w:spacing w:line="360" w:lineRule="auto"/>
        <w:ind w:firstLine="363" w:firstLineChars="173"/>
        <w:rPr>
          <w:rFonts w:hint="default" w:ascii="Times New Roman" w:hAnsi="Times New Roman" w:cs="Times New Roman"/>
          <w:szCs w:val="21"/>
          <w:lang w:val="zh-CN"/>
        </w:rPr>
      </w:pPr>
      <w:r>
        <w:rPr>
          <w:rFonts w:hint="default" w:ascii="Times New Roman" w:hAnsi="Times New Roman" w:cs="Times New Roman"/>
          <w:szCs w:val="21"/>
          <w:lang w:val="zh-CN"/>
        </w:rPr>
        <w:t>（2）依法缴纳税收的证明材料；</w:t>
      </w:r>
    </w:p>
    <w:p w14:paraId="21E9188F">
      <w:pPr>
        <w:widowControl/>
        <w:spacing w:line="360" w:lineRule="auto"/>
        <w:ind w:firstLine="363" w:firstLineChars="173"/>
        <w:rPr>
          <w:rFonts w:hint="default" w:ascii="Times New Roman" w:hAnsi="Times New Roman" w:cs="Times New Roman"/>
          <w:szCs w:val="21"/>
          <w:lang w:val="zh-CN"/>
        </w:rPr>
      </w:pPr>
      <w:r>
        <w:rPr>
          <w:rFonts w:hint="default" w:ascii="Times New Roman" w:hAnsi="Times New Roman" w:cs="Times New Roman"/>
          <w:szCs w:val="21"/>
          <w:lang w:val="zh-CN"/>
        </w:rPr>
        <w:t>（3）依法缴纳社会保障资金的证明材料；</w:t>
      </w:r>
    </w:p>
    <w:p w14:paraId="5C79E19E">
      <w:pPr>
        <w:widowControl/>
        <w:spacing w:line="360" w:lineRule="auto"/>
        <w:ind w:firstLine="363" w:firstLineChars="173"/>
        <w:rPr>
          <w:rFonts w:hint="default" w:ascii="Times New Roman" w:hAnsi="Times New Roman" w:cs="Times New Roman"/>
          <w:szCs w:val="21"/>
          <w:lang w:val="zh-CN"/>
        </w:rPr>
      </w:pPr>
      <w:r>
        <w:rPr>
          <w:rFonts w:hint="default" w:ascii="Times New Roman" w:hAnsi="Times New Roman" w:cs="Times New Roman"/>
          <w:szCs w:val="21"/>
          <w:lang w:val="zh-CN"/>
        </w:rPr>
        <w:t>（4）具备履行政府采购合同所必需的设备和专业技术能力的证明材料；</w:t>
      </w:r>
    </w:p>
    <w:p w14:paraId="74987778">
      <w:pPr>
        <w:widowControl/>
        <w:spacing w:line="360" w:lineRule="auto"/>
        <w:ind w:firstLine="363" w:firstLineChars="173"/>
        <w:rPr>
          <w:rFonts w:hint="default" w:ascii="Times New Roman" w:hAnsi="Times New Roman" w:cs="Times New Roman"/>
          <w:szCs w:val="21"/>
          <w:lang w:val="zh-CN"/>
        </w:rPr>
      </w:pPr>
      <w:r>
        <w:rPr>
          <w:rFonts w:hint="default" w:ascii="Times New Roman" w:hAnsi="Times New Roman" w:cs="Times New Roman"/>
          <w:szCs w:val="21"/>
          <w:lang w:val="zh-CN"/>
        </w:rPr>
        <w:t>（5）参加政府采购活动前三年内在经营活动中没有重大违法记录的证明材料；</w:t>
      </w:r>
    </w:p>
    <w:p w14:paraId="7A0BA494">
      <w:pPr>
        <w:widowControl/>
        <w:spacing w:line="360" w:lineRule="auto"/>
        <w:ind w:firstLine="363" w:firstLineChars="173"/>
        <w:rPr>
          <w:rFonts w:hint="default" w:ascii="Times New Roman" w:hAnsi="Times New Roman" w:cs="Times New Roman"/>
          <w:szCs w:val="21"/>
          <w:lang w:val="zh-CN"/>
        </w:rPr>
      </w:pPr>
      <w:r>
        <w:rPr>
          <w:rFonts w:hint="default" w:ascii="Times New Roman" w:hAnsi="Times New Roman" w:cs="Times New Roman"/>
          <w:szCs w:val="21"/>
          <w:lang w:val="zh-CN"/>
        </w:rPr>
        <w:t>（6）未被列入失信被执行人、重大税收违法失信主体名单、政府采购严重违法失信行为记录名单的证明材料。</w:t>
      </w:r>
    </w:p>
    <w:p w14:paraId="2D82AA17">
      <w:pPr>
        <w:widowControl/>
        <w:spacing w:line="360" w:lineRule="auto"/>
        <w:ind w:firstLine="363" w:firstLineChars="173"/>
        <w:rPr>
          <w:rFonts w:hint="default" w:ascii="Times New Roman" w:hAnsi="Times New Roman" w:cs="Times New Roman"/>
          <w:szCs w:val="21"/>
          <w:lang w:val="zh-CN"/>
        </w:rPr>
      </w:pPr>
      <w:r>
        <w:rPr>
          <w:rFonts w:hint="default" w:ascii="Times New Roman" w:hAnsi="Times New Roman" w:cs="Times New Roman"/>
          <w:szCs w:val="21"/>
          <w:lang w:val="zh-CN"/>
        </w:rPr>
        <w:t>供应商在中标（成交）后，应按采购文件要求，将上述由信用承诺书替代的证明材料提交采购人或采购代理机构核验。经核验无误后，由采购人或采购代理机构发出中标（成交）通知书。</w:t>
      </w:r>
    </w:p>
    <w:p w14:paraId="181B9B30">
      <w:pPr>
        <w:widowControl/>
        <w:spacing w:line="360" w:lineRule="auto"/>
        <w:ind w:firstLine="365" w:firstLineChars="173"/>
        <w:rPr>
          <w:rFonts w:hint="default" w:ascii="Times New Roman" w:hAnsi="Times New Roman" w:cs="Times New Roman"/>
          <w:b/>
          <w:bCs/>
          <w:szCs w:val="21"/>
          <w:lang w:val="zh-CN"/>
        </w:rPr>
      </w:pPr>
      <w:r>
        <w:rPr>
          <w:rFonts w:hint="default" w:ascii="Times New Roman" w:hAnsi="Times New Roman" w:cs="Times New Roman"/>
          <w:b/>
          <w:bCs/>
          <w:szCs w:val="21"/>
          <w:lang w:val="zh-CN"/>
        </w:rPr>
        <w:t>供应商涉及以下情形的，不适用信用承诺： </w:t>
      </w:r>
    </w:p>
    <w:p w14:paraId="43DC7A3C">
      <w:pPr>
        <w:widowControl/>
        <w:spacing w:line="360" w:lineRule="auto"/>
        <w:ind w:firstLine="365" w:firstLineChars="173"/>
        <w:rPr>
          <w:rFonts w:hint="default" w:ascii="Times New Roman" w:hAnsi="Times New Roman" w:cs="Times New Roman"/>
          <w:b/>
          <w:bCs/>
          <w:szCs w:val="21"/>
          <w:lang w:val="zh-CN"/>
        </w:rPr>
      </w:pPr>
      <w:r>
        <w:rPr>
          <w:rFonts w:hint="default" w:ascii="Times New Roman" w:hAnsi="Times New Roman" w:cs="Times New Roman"/>
          <w:b/>
          <w:bCs/>
          <w:szCs w:val="21"/>
          <w:lang w:val="zh-CN"/>
        </w:rPr>
        <w:t>（1）供应商被列入严重失信主体名单； </w:t>
      </w:r>
    </w:p>
    <w:p w14:paraId="3FA35C2B">
      <w:pPr>
        <w:widowControl/>
        <w:spacing w:line="360" w:lineRule="auto"/>
        <w:ind w:firstLine="365" w:firstLineChars="173"/>
        <w:rPr>
          <w:rFonts w:hint="default" w:ascii="Times New Roman" w:hAnsi="Times New Roman" w:cs="Times New Roman"/>
          <w:b/>
          <w:bCs/>
          <w:szCs w:val="21"/>
          <w:lang w:val="zh-CN"/>
        </w:rPr>
      </w:pPr>
      <w:r>
        <w:rPr>
          <w:rFonts w:hint="default" w:ascii="Times New Roman" w:hAnsi="Times New Roman" w:cs="Times New Roman"/>
          <w:b/>
          <w:bCs/>
          <w:szCs w:val="21"/>
          <w:lang w:val="zh-CN"/>
        </w:rPr>
        <w:t>（2）被相关监管部门作出行政处罚且尚在处罚有效期内； </w:t>
      </w:r>
    </w:p>
    <w:p w14:paraId="4323BD15">
      <w:pPr>
        <w:widowControl/>
        <w:spacing w:line="360" w:lineRule="auto"/>
        <w:ind w:firstLine="365" w:firstLineChars="173"/>
        <w:rPr>
          <w:rFonts w:hint="default" w:ascii="Times New Roman" w:hAnsi="Times New Roman" w:cs="Times New Roman"/>
          <w:b/>
          <w:bCs/>
          <w:szCs w:val="21"/>
          <w:lang w:val="zh-CN"/>
        </w:rPr>
      </w:pPr>
      <w:r>
        <w:rPr>
          <w:rFonts w:hint="default" w:ascii="Times New Roman" w:hAnsi="Times New Roman" w:cs="Times New Roman"/>
          <w:b/>
          <w:bCs/>
          <w:szCs w:val="21"/>
          <w:lang w:val="zh-CN"/>
        </w:rPr>
        <w:t>（3）其他法律、行政法规规定的不适用信用承诺的情形。 </w:t>
      </w:r>
    </w:p>
    <w:p w14:paraId="01C36100">
      <w:pPr>
        <w:widowControl/>
        <w:spacing w:line="360" w:lineRule="auto"/>
        <w:rPr>
          <w:rFonts w:hint="default" w:ascii="Times New Roman" w:hAnsi="Times New Roman" w:cs="Times New Roman"/>
          <w:b/>
          <w:bCs/>
          <w:szCs w:val="21"/>
          <w:lang w:val="zh-CN"/>
        </w:rPr>
      </w:pPr>
      <w:r>
        <w:rPr>
          <w:rFonts w:hint="default" w:ascii="Times New Roman" w:hAnsi="Times New Roman" w:cs="Times New Roman"/>
          <w:b/>
          <w:bCs/>
          <w:szCs w:val="21"/>
          <w:lang w:val="zh-CN"/>
        </w:rPr>
        <w:t>供应商对信用承诺内容的真实性、合法性、有效性负责。如作出虚假信用承诺，视同为“提供虚假材料谋取中标、成交”的违法行为。</w:t>
      </w:r>
    </w:p>
    <w:p w14:paraId="2C8AA5D5">
      <w:pPr>
        <w:pStyle w:val="56"/>
        <w:rPr>
          <w:rFonts w:hint="default" w:ascii="Times New Roman" w:hAnsi="Times New Roman" w:cs="Times New Roman"/>
        </w:rPr>
      </w:pPr>
    </w:p>
    <w:p w14:paraId="18D2B78D">
      <w:pPr>
        <w:widowControl/>
        <w:spacing w:line="360" w:lineRule="auto"/>
        <w:rPr>
          <w:rFonts w:hint="default" w:ascii="Times New Roman" w:hAnsi="Times New Roman" w:cs="Times New Roman"/>
          <w:b/>
          <w:spacing w:val="8"/>
          <w:kern w:val="0"/>
          <w:sz w:val="24"/>
        </w:rPr>
      </w:pPr>
      <w:r>
        <w:rPr>
          <w:rFonts w:hint="default" w:ascii="Times New Roman" w:hAnsi="Times New Roman" w:cs="Times New Roman"/>
          <w:b/>
          <w:spacing w:val="8"/>
          <w:kern w:val="0"/>
          <w:sz w:val="24"/>
        </w:rPr>
        <w:t>七、对本次招标提出询问，请按以下方式联系</w:t>
      </w:r>
    </w:p>
    <w:p w14:paraId="48577962">
      <w:pPr>
        <w:widowControl/>
        <w:spacing w:line="360" w:lineRule="auto"/>
        <w:ind w:firstLine="363" w:firstLineChars="173"/>
        <w:rPr>
          <w:rFonts w:hint="default" w:ascii="Times New Roman" w:hAnsi="Times New Roman" w:cs="Times New Roman"/>
          <w:bCs/>
          <w:szCs w:val="21"/>
        </w:rPr>
      </w:pPr>
      <w:r>
        <w:rPr>
          <w:rFonts w:hint="default" w:ascii="Times New Roman" w:hAnsi="Times New Roman" w:cs="Times New Roman"/>
          <w:bCs/>
          <w:szCs w:val="21"/>
        </w:rPr>
        <w:t>7.1采购人信息</w:t>
      </w:r>
    </w:p>
    <w:p w14:paraId="0BBE53B5">
      <w:pPr>
        <w:widowControl/>
        <w:spacing w:line="360" w:lineRule="auto"/>
        <w:ind w:firstLine="363" w:firstLineChars="173"/>
        <w:rPr>
          <w:rFonts w:hint="default" w:ascii="Times New Roman" w:hAnsi="Times New Roman" w:cs="Times New Roman"/>
          <w:bCs/>
          <w:szCs w:val="21"/>
          <w:lang w:val="zh-CN"/>
        </w:rPr>
      </w:pPr>
      <w:r>
        <w:rPr>
          <w:rFonts w:hint="default" w:ascii="Times New Roman" w:hAnsi="Times New Roman" w:cs="Times New Roman"/>
          <w:bCs/>
          <w:szCs w:val="21"/>
          <w:lang w:val="zh-CN"/>
        </w:rPr>
        <w:t>名称：南京市浦口区市场监督管理局</w:t>
      </w:r>
    </w:p>
    <w:p w14:paraId="7C9D737F">
      <w:pPr>
        <w:widowControl/>
        <w:spacing w:line="360" w:lineRule="auto"/>
        <w:ind w:firstLine="363" w:firstLineChars="173"/>
        <w:rPr>
          <w:rFonts w:hint="default" w:ascii="Times New Roman" w:hAnsi="Times New Roman" w:cs="Times New Roman"/>
          <w:bCs/>
          <w:szCs w:val="21"/>
          <w:lang w:val="zh-CN"/>
        </w:rPr>
      </w:pPr>
      <w:r>
        <w:rPr>
          <w:rFonts w:hint="default" w:ascii="Times New Roman" w:hAnsi="Times New Roman" w:cs="Times New Roman"/>
          <w:bCs/>
          <w:szCs w:val="21"/>
          <w:lang w:val="zh-CN"/>
        </w:rPr>
        <w:t>地址：南京市浦口区浦珠北路151号</w:t>
      </w:r>
    </w:p>
    <w:p w14:paraId="1CC15A30">
      <w:pPr>
        <w:widowControl/>
        <w:spacing w:line="360" w:lineRule="auto"/>
        <w:ind w:firstLine="363" w:firstLineChars="173"/>
        <w:rPr>
          <w:rFonts w:hint="default" w:ascii="Times New Roman" w:hAnsi="Times New Roman" w:eastAsia="宋体" w:cs="Times New Roman"/>
          <w:bCs/>
          <w:szCs w:val="21"/>
          <w:lang w:eastAsia="zh-CN"/>
        </w:rPr>
      </w:pPr>
      <w:r>
        <w:rPr>
          <w:rFonts w:hint="default" w:ascii="Times New Roman" w:hAnsi="Times New Roman" w:cs="Times New Roman"/>
          <w:bCs/>
          <w:szCs w:val="21"/>
          <w:lang w:val="zh-CN"/>
        </w:rPr>
        <w:t>联系人：</w:t>
      </w:r>
      <w:r>
        <w:rPr>
          <w:rFonts w:hint="default" w:ascii="Times New Roman" w:hAnsi="Times New Roman" w:cs="Times New Roman"/>
          <w:bCs/>
          <w:szCs w:val="21"/>
          <w:lang w:val="en-US" w:eastAsia="zh-CN"/>
        </w:rPr>
        <w:t>杨娟</w:t>
      </w:r>
    </w:p>
    <w:p w14:paraId="7C31E41C">
      <w:pPr>
        <w:widowControl/>
        <w:spacing w:line="360" w:lineRule="auto"/>
        <w:ind w:firstLine="363" w:firstLineChars="173"/>
        <w:rPr>
          <w:rFonts w:hint="default" w:ascii="Times New Roman" w:hAnsi="Times New Roman" w:cs="Times New Roman"/>
          <w:bCs/>
          <w:szCs w:val="21"/>
          <w:highlight w:val="none"/>
        </w:rPr>
      </w:pPr>
      <w:r>
        <w:rPr>
          <w:rFonts w:hint="default" w:ascii="Times New Roman" w:hAnsi="Times New Roman" w:cs="Times New Roman"/>
          <w:bCs/>
          <w:szCs w:val="21"/>
          <w:highlight w:val="none"/>
        </w:rPr>
        <w:t>联系电话：</w:t>
      </w:r>
      <w:r>
        <w:rPr>
          <w:rFonts w:hint="default" w:ascii="Times New Roman" w:hAnsi="Times New Roman" w:cs="Times New Roman"/>
          <w:highlight w:val="none"/>
          <w:lang w:val="en-US" w:eastAsia="zh-CN"/>
        </w:rPr>
        <w:t>025-</w:t>
      </w:r>
      <w:r>
        <w:rPr>
          <w:rFonts w:hint="default" w:ascii="Times New Roman" w:hAnsi="Times New Roman" w:cs="Times New Roman"/>
          <w:highlight w:val="none"/>
        </w:rPr>
        <w:t>58886976</w:t>
      </w:r>
    </w:p>
    <w:p w14:paraId="4183D1CE">
      <w:pPr>
        <w:widowControl/>
        <w:spacing w:line="360" w:lineRule="auto"/>
        <w:ind w:firstLine="363" w:firstLineChars="173"/>
        <w:rPr>
          <w:rFonts w:hint="default" w:ascii="Times New Roman" w:hAnsi="Times New Roman" w:cs="Times New Roman"/>
          <w:bCs/>
          <w:szCs w:val="21"/>
        </w:rPr>
      </w:pPr>
      <w:r>
        <w:rPr>
          <w:rFonts w:hint="default" w:ascii="Times New Roman" w:hAnsi="Times New Roman" w:cs="Times New Roman"/>
          <w:bCs/>
          <w:szCs w:val="21"/>
        </w:rPr>
        <w:t>7.2采购代理机构信息</w:t>
      </w:r>
    </w:p>
    <w:p w14:paraId="778575B7">
      <w:pPr>
        <w:widowControl/>
        <w:spacing w:line="360" w:lineRule="auto"/>
        <w:ind w:firstLine="363" w:firstLineChars="173"/>
        <w:rPr>
          <w:rFonts w:hint="default" w:ascii="Times New Roman" w:hAnsi="Times New Roman" w:cs="Times New Roman"/>
          <w:bCs/>
          <w:szCs w:val="21"/>
        </w:rPr>
      </w:pPr>
      <w:r>
        <w:rPr>
          <w:rFonts w:hint="default" w:ascii="Times New Roman" w:hAnsi="Times New Roman" w:cs="Times New Roman"/>
          <w:bCs/>
          <w:szCs w:val="21"/>
        </w:rPr>
        <w:t>名称：江苏省设备成套股份有限公司</w:t>
      </w:r>
    </w:p>
    <w:p w14:paraId="6A982026">
      <w:pPr>
        <w:widowControl/>
        <w:spacing w:line="360" w:lineRule="auto"/>
        <w:ind w:firstLine="363" w:firstLineChars="173"/>
        <w:rPr>
          <w:rFonts w:hint="default" w:ascii="Times New Roman" w:hAnsi="Times New Roman" w:cs="Times New Roman"/>
          <w:bCs/>
          <w:szCs w:val="21"/>
        </w:rPr>
      </w:pPr>
      <w:r>
        <w:rPr>
          <w:rFonts w:hint="default" w:ascii="Times New Roman" w:hAnsi="Times New Roman" w:cs="Times New Roman"/>
          <w:bCs/>
          <w:szCs w:val="21"/>
        </w:rPr>
        <w:t>联系人：</w:t>
      </w:r>
      <w:r>
        <w:rPr>
          <w:rFonts w:hint="default" w:ascii="Times New Roman" w:hAnsi="Times New Roman" w:cs="Times New Roman"/>
          <w:bCs/>
          <w:szCs w:val="21"/>
          <w:lang w:val="en-US" w:eastAsia="zh-CN"/>
        </w:rPr>
        <w:t>赵娴宇 左卢成</w:t>
      </w:r>
    </w:p>
    <w:p w14:paraId="052DF656">
      <w:pPr>
        <w:widowControl/>
        <w:spacing w:line="360" w:lineRule="auto"/>
        <w:ind w:firstLine="363" w:firstLineChars="173"/>
        <w:rPr>
          <w:rFonts w:hint="default" w:ascii="Times New Roman" w:hAnsi="Times New Roman" w:cs="Times New Roman"/>
          <w:bCs/>
          <w:szCs w:val="21"/>
        </w:rPr>
      </w:pPr>
      <w:r>
        <w:rPr>
          <w:rFonts w:hint="default" w:ascii="Times New Roman" w:hAnsi="Times New Roman" w:cs="Times New Roman"/>
          <w:bCs/>
          <w:szCs w:val="21"/>
        </w:rPr>
        <w:t>电子邮箱：</w:t>
      </w:r>
      <w:r>
        <w:rPr>
          <w:rFonts w:hint="default" w:ascii="Times New Roman" w:hAnsi="Times New Roman" w:cs="Times New Roman"/>
          <w:bCs/>
          <w:szCs w:val="21"/>
          <w:lang w:val="en-US" w:eastAsia="zh-CN"/>
        </w:rPr>
        <w:t>zuolc</w:t>
      </w:r>
      <w:r>
        <w:rPr>
          <w:rFonts w:hint="default" w:ascii="Times New Roman" w:hAnsi="Times New Roman" w:cs="Times New Roman"/>
          <w:bCs/>
          <w:szCs w:val="21"/>
        </w:rPr>
        <w:t>@jcec.cn</w:t>
      </w:r>
    </w:p>
    <w:p w14:paraId="6DC0BC2D">
      <w:pPr>
        <w:widowControl/>
        <w:spacing w:line="360" w:lineRule="auto"/>
        <w:ind w:firstLine="363" w:firstLineChars="173"/>
        <w:rPr>
          <w:rFonts w:hint="default" w:ascii="Times New Roman" w:hAnsi="Times New Roman" w:eastAsia="宋体" w:cs="Times New Roman"/>
          <w:bCs/>
          <w:szCs w:val="21"/>
          <w:lang w:val="en-US" w:eastAsia="zh-CN"/>
        </w:rPr>
      </w:pPr>
      <w:r>
        <w:rPr>
          <w:rFonts w:hint="default" w:ascii="Times New Roman" w:hAnsi="Times New Roman" w:cs="Times New Roman"/>
          <w:bCs/>
          <w:szCs w:val="21"/>
        </w:rPr>
        <w:t>联系方式：</w:t>
      </w:r>
      <w:r>
        <w:rPr>
          <w:rFonts w:hint="default" w:ascii="Times New Roman" w:hAnsi="Times New Roman" w:cs="Times New Roman"/>
          <w:bCs/>
          <w:szCs w:val="21"/>
          <w:lang w:val="en-US" w:eastAsia="zh-CN"/>
        </w:rPr>
        <w:t xml:space="preserve">025-83325825 </w:t>
      </w:r>
      <w:r>
        <w:rPr>
          <w:rFonts w:hint="default" w:ascii="Times New Roman" w:hAnsi="Times New Roman" w:cs="Times New Roman"/>
          <w:bCs/>
          <w:szCs w:val="21"/>
        </w:rPr>
        <w:t>025-833</w:t>
      </w:r>
      <w:r>
        <w:rPr>
          <w:rFonts w:hint="default" w:ascii="Times New Roman" w:hAnsi="Times New Roman" w:cs="Times New Roman"/>
          <w:bCs/>
          <w:szCs w:val="21"/>
          <w:lang w:val="en-US" w:eastAsia="zh-CN"/>
        </w:rPr>
        <w:t>14167</w:t>
      </w:r>
    </w:p>
    <w:p w14:paraId="58F10263">
      <w:pPr>
        <w:widowControl/>
        <w:spacing w:line="360" w:lineRule="auto"/>
        <w:ind w:firstLine="363" w:firstLineChars="173"/>
        <w:rPr>
          <w:rFonts w:hint="default" w:ascii="Times New Roman" w:hAnsi="Times New Roman" w:cs="Times New Roman"/>
          <w:bCs/>
          <w:szCs w:val="21"/>
        </w:rPr>
      </w:pPr>
      <w:r>
        <w:rPr>
          <w:rFonts w:hint="default" w:ascii="Times New Roman" w:hAnsi="Times New Roman" w:cs="Times New Roman"/>
          <w:bCs/>
          <w:szCs w:val="21"/>
        </w:rPr>
        <w:t xml:space="preserve">地址：江苏省南京市鼓楼区清江南路18号鼓楼创新广场D栋10楼1001室 </w:t>
      </w:r>
    </w:p>
    <w:p w14:paraId="7C72D23A">
      <w:pPr>
        <w:widowControl/>
        <w:spacing w:line="360" w:lineRule="auto"/>
        <w:ind w:firstLine="363" w:firstLineChars="173"/>
        <w:rPr>
          <w:rFonts w:hint="default" w:ascii="Times New Roman" w:hAnsi="Times New Roman" w:cs="Times New Roman"/>
          <w:bCs/>
          <w:szCs w:val="21"/>
        </w:rPr>
      </w:pPr>
      <w:r>
        <w:rPr>
          <w:rFonts w:hint="default" w:ascii="Times New Roman" w:hAnsi="Times New Roman" w:cs="Times New Roman"/>
          <w:bCs/>
          <w:szCs w:val="21"/>
        </w:rPr>
        <w:t>7.3项目联系方式</w:t>
      </w:r>
    </w:p>
    <w:p w14:paraId="4576211D">
      <w:pPr>
        <w:widowControl/>
        <w:spacing w:line="360" w:lineRule="auto"/>
        <w:ind w:firstLine="363" w:firstLineChars="173"/>
        <w:rPr>
          <w:rFonts w:hint="default" w:ascii="Times New Roman" w:hAnsi="Times New Roman" w:cs="Times New Roman"/>
          <w:bCs/>
          <w:szCs w:val="21"/>
        </w:rPr>
      </w:pPr>
      <w:r>
        <w:rPr>
          <w:rFonts w:hint="default" w:ascii="Times New Roman" w:hAnsi="Times New Roman" w:cs="Times New Roman"/>
          <w:bCs/>
          <w:szCs w:val="21"/>
        </w:rPr>
        <w:t>联系人：</w:t>
      </w:r>
      <w:r>
        <w:rPr>
          <w:rFonts w:hint="default" w:ascii="Times New Roman" w:hAnsi="Times New Roman" w:cs="Times New Roman"/>
          <w:bCs/>
          <w:szCs w:val="21"/>
          <w:lang w:val="en-US" w:eastAsia="zh-CN"/>
        </w:rPr>
        <w:t>赵娴宇 左卢成</w:t>
      </w:r>
    </w:p>
    <w:p w14:paraId="17138BB1">
      <w:pPr>
        <w:widowControl/>
        <w:spacing w:line="360" w:lineRule="auto"/>
        <w:ind w:firstLine="363" w:firstLineChars="173"/>
        <w:rPr>
          <w:rFonts w:hint="default" w:ascii="Times New Roman" w:hAnsi="Times New Roman" w:cs="Times New Roman"/>
        </w:rPr>
      </w:pPr>
      <w:r>
        <w:rPr>
          <w:rFonts w:hint="default" w:ascii="Times New Roman" w:hAnsi="Times New Roman" w:cs="Times New Roman"/>
          <w:bCs/>
          <w:szCs w:val="21"/>
        </w:rPr>
        <w:t>电话：</w:t>
      </w:r>
      <w:r>
        <w:rPr>
          <w:rFonts w:hint="default" w:ascii="Times New Roman" w:hAnsi="Times New Roman" w:cs="Times New Roman"/>
          <w:bCs/>
          <w:szCs w:val="21"/>
          <w:lang w:val="en-US" w:eastAsia="zh-CN"/>
        </w:rPr>
        <w:t xml:space="preserve">025-83325825 </w:t>
      </w:r>
      <w:r>
        <w:rPr>
          <w:rFonts w:hint="default" w:ascii="Times New Roman" w:hAnsi="Times New Roman" w:cs="Times New Roman"/>
          <w:bCs/>
          <w:szCs w:val="21"/>
        </w:rPr>
        <w:t>025-833</w:t>
      </w:r>
      <w:r>
        <w:rPr>
          <w:rFonts w:hint="default" w:ascii="Times New Roman" w:hAnsi="Times New Roman" w:cs="Times New Roman"/>
          <w:bCs/>
          <w:szCs w:val="21"/>
          <w:lang w:val="en-US" w:eastAsia="zh-CN"/>
        </w:rPr>
        <w:t>14167</w:t>
      </w:r>
      <w:r>
        <w:rPr>
          <w:rFonts w:hint="default" w:ascii="Times New Roman" w:hAnsi="Times New Roman" w:cs="Times New Roman"/>
        </w:rPr>
        <w:br w:type="page"/>
      </w:r>
    </w:p>
    <w:p w14:paraId="7E74240D">
      <w:pPr>
        <w:pStyle w:val="2"/>
        <w:numPr>
          <w:ilvl w:val="0"/>
          <w:numId w:val="0"/>
        </w:numPr>
        <w:spacing w:line="360" w:lineRule="auto"/>
        <w:rPr>
          <w:rFonts w:hint="eastAsia" w:ascii="宋体" w:hAnsi="宋体" w:cs="宋体"/>
        </w:rPr>
      </w:pPr>
      <w:bookmarkStart w:id="5" w:name="_Toc452625218"/>
      <w:bookmarkStart w:id="6" w:name="_Toc2989"/>
      <w:r>
        <w:rPr>
          <w:rFonts w:hint="eastAsia" w:ascii="宋体" w:hAnsi="宋体" w:cs="宋体"/>
        </w:rPr>
        <w:t>第二章 投标人须知</w:t>
      </w:r>
      <w:bookmarkEnd w:id="5"/>
      <w:bookmarkEnd w:id="6"/>
    </w:p>
    <w:p w14:paraId="05FC5BA6">
      <w:pPr>
        <w:widowControl/>
        <w:shd w:val="clear" w:color="auto" w:fill="FFFFFF"/>
        <w:spacing w:line="360" w:lineRule="auto"/>
        <w:ind w:firstLine="424" w:firstLineChars="201"/>
        <w:rPr>
          <w:rFonts w:hint="eastAsia" w:ascii="宋体" w:hAnsi="宋体" w:cs="宋体"/>
          <w:kern w:val="0"/>
          <w:szCs w:val="21"/>
        </w:rPr>
      </w:pPr>
      <w:r>
        <w:rPr>
          <w:rFonts w:hint="eastAsia" w:ascii="宋体" w:hAnsi="宋体" w:cs="宋体"/>
          <w:b/>
          <w:bCs/>
          <w:kern w:val="0"/>
          <w:szCs w:val="21"/>
        </w:rPr>
        <w:t>一、总 则</w:t>
      </w:r>
    </w:p>
    <w:p w14:paraId="4EC559E5">
      <w:pPr>
        <w:widowControl/>
        <w:shd w:val="clear" w:color="auto" w:fill="FFFFFF"/>
        <w:spacing w:line="360" w:lineRule="auto"/>
        <w:ind w:firstLine="420"/>
        <w:rPr>
          <w:rFonts w:hint="eastAsia" w:ascii="宋体" w:hAnsi="宋体" w:cs="宋体"/>
          <w:kern w:val="0"/>
          <w:szCs w:val="21"/>
        </w:rPr>
      </w:pPr>
      <w:r>
        <w:rPr>
          <w:rFonts w:hint="eastAsia" w:ascii="宋体" w:hAnsi="宋体" w:cs="宋体"/>
          <w:b/>
          <w:bCs/>
          <w:kern w:val="0"/>
          <w:szCs w:val="21"/>
        </w:rPr>
        <w:t>1、适用法律</w:t>
      </w:r>
    </w:p>
    <w:p w14:paraId="5EC976C8">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1.1本次招标，适用《中华人民共和国政府采购法》（以下简称政府采购法）《中华人民共和国政府采购法实施条例》（以下简称政府采购法实施条例）《政府采购货物和服务招标投标管理办法》等法律、行政法规、部门规章和规范性文件。</w:t>
      </w:r>
    </w:p>
    <w:p w14:paraId="01EEAF10">
      <w:pPr>
        <w:widowControl/>
        <w:shd w:val="clear" w:color="auto" w:fill="FFFFFF"/>
        <w:spacing w:line="360" w:lineRule="auto"/>
        <w:ind w:firstLine="420"/>
        <w:rPr>
          <w:rFonts w:hint="eastAsia" w:ascii="宋体" w:hAnsi="宋体" w:cs="宋体"/>
          <w:kern w:val="0"/>
          <w:szCs w:val="21"/>
        </w:rPr>
      </w:pPr>
      <w:r>
        <w:rPr>
          <w:rFonts w:hint="eastAsia" w:ascii="宋体" w:hAnsi="宋体" w:cs="宋体"/>
          <w:b/>
          <w:bCs/>
          <w:kern w:val="0"/>
          <w:szCs w:val="21"/>
        </w:rPr>
        <w:t>2、定义</w:t>
      </w:r>
    </w:p>
    <w:p w14:paraId="2BFCCFA0">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2.1“采购人”是指依法进行政府采购的国家机关、事业单位、团体组织。</w:t>
      </w:r>
    </w:p>
    <w:p w14:paraId="01CC6380">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2.2“投标人（供应商）”是指参加投标竞争，并符合招标文件规定资格条件的法人、其他组织或者自然人。</w:t>
      </w:r>
    </w:p>
    <w:p w14:paraId="45E3924B">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2.3“采购代理机构”是指集中采购机构和集中采购机构以外的采购代理机构，集中采购机构以外的采购代理机构，是从事采购代理业务的社会中介机构。</w:t>
      </w:r>
    </w:p>
    <w:p w14:paraId="52728722">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2.4“货物和服务”指本招标文件中所述</w:t>
      </w:r>
      <w:r>
        <w:rPr>
          <w:rFonts w:hint="eastAsia" w:ascii="宋体" w:hAnsi="宋体" w:cs="宋体"/>
          <w:bCs/>
          <w:kern w:val="0"/>
          <w:szCs w:val="21"/>
        </w:rPr>
        <w:t>产品</w:t>
      </w:r>
      <w:r>
        <w:rPr>
          <w:rFonts w:hint="eastAsia" w:ascii="宋体" w:hAnsi="宋体" w:cs="宋体"/>
          <w:kern w:val="0"/>
          <w:szCs w:val="21"/>
        </w:rPr>
        <w:t>及相关服务。</w:t>
      </w:r>
    </w:p>
    <w:p w14:paraId="6ADA75E1">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2.5“用户或使用单位”是指使用货物，接受服务的单位。</w:t>
      </w:r>
    </w:p>
    <w:p w14:paraId="7F804BCD">
      <w:pPr>
        <w:widowControl/>
        <w:shd w:val="clear" w:color="auto" w:fill="FFFFFF"/>
        <w:spacing w:line="360" w:lineRule="auto"/>
        <w:ind w:firstLine="420"/>
        <w:rPr>
          <w:rFonts w:hint="eastAsia" w:ascii="宋体" w:hAnsi="宋体" w:cs="宋体"/>
          <w:kern w:val="0"/>
          <w:szCs w:val="21"/>
        </w:rPr>
      </w:pPr>
      <w:r>
        <w:rPr>
          <w:rFonts w:hint="eastAsia" w:ascii="宋体" w:hAnsi="宋体" w:cs="宋体"/>
          <w:b/>
          <w:bCs/>
          <w:kern w:val="0"/>
          <w:szCs w:val="21"/>
        </w:rPr>
        <w:t>3、政策功能</w:t>
      </w:r>
    </w:p>
    <w:p w14:paraId="15DF2C1D">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3.1政府采购促进中小企业发展，在政府采购活动中，供应商提供的货物、工程或者服务符合《政府采购促进中小企业发展管理办法》（财库〔2020〕46号）的规定的，享受中小企业扶持政策。中小企业参加政府采购活动，应当出具《中小企业声明函》（格式见第六章），否则不得享受相关中小企业扶持政策。（“中小企业划型标准”详见《关于印发中小企业划型标准规定的通知》工信部联企业〔2011〕300号及《国家统计局关于印发〈统计上大中小微型企业划分办法（2017）〉的通知》国统〔2017〕213号）。</w:t>
      </w:r>
    </w:p>
    <w:p w14:paraId="4A84BD16">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3.2政府采购支持监狱和戒毒企业发展政策，监狱和戒毒企业提供的产品和服务在评标时将获得优势，参加投标的监狱和戒毒企业，应当提供由省级以上监狱管理局、戒毒管理局（含新疆生产建设兵团）出具的属于监狱企业的证明文件，监狱和戒毒企业享受政府采购支持政策的要求详见《关于政府采购支持监狱企业发展有关问题的通知》（财库〔2014〕68号）。</w:t>
      </w:r>
    </w:p>
    <w:p w14:paraId="385E27D5">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3.3政府采购促进残疾人就业政策，残疾人福利性单位提供的产品和服务在评标时将获得优势，参加投标的残疾人福利性单位，应当提供《残疾人福利性单位声明函》，残疾人福利性单位享受政府采购支持政策的要求详见《关于促进残疾人就业政府采购政策的通知》（财库〔2017〕141号）。</w:t>
      </w:r>
    </w:p>
    <w:p w14:paraId="1BC12621">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3.4政府采购节能产品、环境标志产品实施品目清单管理。拟采购产品属于节能产品品目清单规定必须强制采购的，实行强制采购。拟采购产品属于节能产品、环境标志产品品目清单规定优先采购的，在性能、技术、服务等指标同等条件下，实行优先采购，优先采购的评审标准详见本招标文件第三章。参加政府采购活动的节能产品、环境标志产品投标人应当提供国家确定的认证机构出具的、处于有效期之内的节能产品、环境标志产品认证证书。</w:t>
      </w:r>
    </w:p>
    <w:p w14:paraId="655B4AFC">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3.5强制采购信息安全产品。参加政府采购活动的信息安全产品投标人应当选择经国家认证的信息安全产品投标，并提供由国家信息安全认证中心按国家标准认证颁发的有效认证证书。</w:t>
      </w:r>
    </w:p>
    <w:p w14:paraId="0D70F86B">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3.6进口产品政策</w:t>
      </w:r>
    </w:p>
    <w:p w14:paraId="4218D881">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（1）除招标公告载明接受进口产品参加外，不允许进口产品参加。进口产品认定依照《财政部关于政府采购进口产品管理有关问题的通知》（财办库〔2008〕248号）的规定。</w:t>
      </w:r>
    </w:p>
    <w:p w14:paraId="5D3DF6EA">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（2）允许进口产品参加的，满足需求的国内产品可以参加。</w:t>
      </w:r>
    </w:p>
    <w:p w14:paraId="67112EC8">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（3）允许进口产品参加的，优先采购向我国企业转让技术、与我国企业签订消化吸收再创新方案的投标人的进口产品。</w:t>
      </w:r>
    </w:p>
    <w:p w14:paraId="0C7F4C98">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3.7未按要求提供相关材料的，不享受相关政策。</w:t>
      </w:r>
    </w:p>
    <w:p w14:paraId="534D3BE7">
      <w:pPr>
        <w:widowControl/>
        <w:shd w:val="clear" w:color="auto" w:fill="FFFFFF"/>
        <w:spacing w:line="360" w:lineRule="auto"/>
        <w:ind w:firstLine="412"/>
        <w:rPr>
          <w:rFonts w:hint="eastAsia" w:ascii="宋体" w:hAnsi="宋体" w:cs="宋体"/>
          <w:kern w:val="0"/>
          <w:szCs w:val="21"/>
        </w:rPr>
      </w:pPr>
      <w:r>
        <w:rPr>
          <w:rFonts w:hint="eastAsia" w:ascii="宋体" w:hAnsi="宋体" w:cs="宋体"/>
          <w:b/>
          <w:bCs/>
          <w:kern w:val="0"/>
          <w:szCs w:val="21"/>
        </w:rPr>
        <w:t>二、招标文件构成</w:t>
      </w:r>
    </w:p>
    <w:p w14:paraId="672918CC">
      <w:pPr>
        <w:widowControl/>
        <w:shd w:val="clear" w:color="auto" w:fill="FFFFFF"/>
        <w:spacing w:line="360" w:lineRule="auto"/>
        <w:ind w:firstLine="420"/>
        <w:rPr>
          <w:rFonts w:hint="eastAsia" w:ascii="宋体" w:hAnsi="宋体" w:cs="宋体"/>
          <w:kern w:val="0"/>
          <w:szCs w:val="21"/>
        </w:rPr>
      </w:pPr>
      <w:r>
        <w:rPr>
          <w:rFonts w:hint="eastAsia" w:ascii="宋体" w:hAnsi="宋体" w:cs="宋体"/>
          <w:b/>
          <w:bCs/>
          <w:kern w:val="0"/>
          <w:szCs w:val="21"/>
        </w:rPr>
        <w:t>4、招标文件组成</w:t>
      </w:r>
    </w:p>
    <w:p w14:paraId="7E6E78FE">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4.1招标文件包括以下主要内容：</w:t>
      </w:r>
    </w:p>
    <w:p w14:paraId="5AD0F25D">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（1）招标公告；</w:t>
      </w:r>
    </w:p>
    <w:p w14:paraId="262A7586">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（2）投标人须知；</w:t>
      </w:r>
    </w:p>
    <w:p w14:paraId="3BBBD953">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（3）评标标准；</w:t>
      </w:r>
    </w:p>
    <w:p w14:paraId="79F6FFFC">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（4）采购需求；</w:t>
      </w:r>
    </w:p>
    <w:p w14:paraId="43A64AF4">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（5）合同主要条款及格式；</w:t>
      </w:r>
    </w:p>
    <w:p w14:paraId="314AB9B6">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（6）投标文件格式及附件。</w:t>
      </w:r>
    </w:p>
    <w:p w14:paraId="15C57D65">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如标书制作工具中格式和内容与“南京公共采购信息网/江苏政府采购网/中国政府采购网”发布的招标文件不一致的，以上述网站发布的招标文件为准。</w:t>
      </w:r>
    </w:p>
    <w:p w14:paraId="4865C495">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4.2 招标的最小单位是标包。招标货物（服务）数量及技术要求中未分标包的，投标人对要求提供的货物和服务不得部分投标；招标货物（服务）数量及技术要求中已经分标包的，可以以标包为单位投标。</w:t>
      </w:r>
    </w:p>
    <w:p w14:paraId="309FF77C">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4.3 采购代理机构如果要求投标人按照招标文件规定提交备选投标方案的，投标人可以提交备选方案；否则，备选方案将被拒绝。</w:t>
      </w:r>
    </w:p>
    <w:p w14:paraId="0C109275">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4.4招标文件中要求的产品品牌或型号，是采购人根据项目所要实现的功能推荐的品牌或型号，仅供投标人参考，并不是限制条件。</w:t>
      </w:r>
    </w:p>
    <w:p w14:paraId="6ED1D1FF">
      <w:pPr>
        <w:widowControl/>
        <w:shd w:val="clear" w:color="auto" w:fill="FFFFFF"/>
        <w:spacing w:line="360" w:lineRule="auto"/>
        <w:ind w:firstLine="420"/>
        <w:rPr>
          <w:rFonts w:hint="eastAsia" w:ascii="宋体" w:hAnsi="宋体" w:cs="宋体"/>
          <w:kern w:val="0"/>
          <w:szCs w:val="21"/>
        </w:rPr>
      </w:pPr>
      <w:r>
        <w:rPr>
          <w:rFonts w:hint="eastAsia" w:ascii="宋体" w:hAnsi="宋体" w:cs="宋体"/>
          <w:b/>
          <w:bCs/>
          <w:kern w:val="0"/>
          <w:szCs w:val="21"/>
        </w:rPr>
        <w:t>5、招标文件的澄清或者修改</w:t>
      </w:r>
    </w:p>
    <w:p w14:paraId="615CC4C9">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5.1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223D260F">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5.2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4AAFE581">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5.3 投标人应在提交投标文件截止时间前，关注原公告媒体有关本项目的更正公告，根据更正公告内容自行决定是否需要重新制作和提交投标文件，并承担由此产生的相应责任。</w:t>
      </w:r>
    </w:p>
    <w:p w14:paraId="416E01FB">
      <w:pPr>
        <w:widowControl/>
        <w:shd w:val="clear" w:color="auto" w:fill="FFFFFF"/>
        <w:spacing w:line="360" w:lineRule="auto"/>
        <w:ind w:firstLine="420"/>
        <w:rPr>
          <w:rFonts w:hint="eastAsia" w:ascii="宋体" w:hAnsi="宋体" w:cs="宋体"/>
          <w:kern w:val="0"/>
          <w:szCs w:val="21"/>
        </w:rPr>
      </w:pPr>
      <w:r>
        <w:rPr>
          <w:rFonts w:hint="eastAsia" w:ascii="宋体" w:hAnsi="宋体" w:cs="宋体"/>
          <w:b/>
          <w:bCs/>
          <w:kern w:val="0"/>
          <w:szCs w:val="21"/>
        </w:rPr>
        <w:t>三、投标文件的编制</w:t>
      </w:r>
    </w:p>
    <w:p w14:paraId="47FDB8BD">
      <w:pPr>
        <w:widowControl/>
        <w:shd w:val="clear" w:color="auto" w:fill="FFFFFF"/>
        <w:spacing w:line="360" w:lineRule="auto"/>
        <w:ind w:firstLine="420"/>
        <w:rPr>
          <w:rFonts w:hint="eastAsia" w:ascii="宋体" w:hAnsi="宋体" w:cs="宋体"/>
          <w:kern w:val="0"/>
          <w:szCs w:val="21"/>
        </w:rPr>
      </w:pPr>
      <w:r>
        <w:rPr>
          <w:rFonts w:hint="eastAsia" w:ascii="宋体" w:hAnsi="宋体" w:cs="宋体"/>
          <w:b/>
          <w:bCs/>
          <w:kern w:val="0"/>
          <w:szCs w:val="21"/>
        </w:rPr>
        <w:t>6、投标文件的语言、计量单位、货币和编制</w:t>
      </w:r>
    </w:p>
    <w:p w14:paraId="4DAFEC68">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6.1投标人提交的投标文件、技术文件和资料，包括图纸中的说明，以及投标人与采购代理机构就有关投标的所有来往函电均应使用中文。投标文件中若有英文或其他语言文字的资料，应提供相应的中文翻译资料。对不同文本投标文件的解释发生异议的，以中文文本为准。</w:t>
      </w:r>
    </w:p>
    <w:p w14:paraId="12488736">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6.2投标人所使用的计量单位应为国家法定计量单位。</w:t>
      </w:r>
    </w:p>
    <w:p w14:paraId="500BA5A2">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6.3投标人应用人民币报价。投标产品如果是进口产品的，应提供人民币与</w:t>
      </w:r>
      <w:r>
        <w:rPr>
          <w:rFonts w:hint="eastAsia" w:ascii="宋体" w:hAnsi="宋体" w:cs="宋体"/>
          <w:b/>
          <w:bCs/>
          <w:kern w:val="0"/>
          <w:szCs w:val="21"/>
        </w:rPr>
        <w:t>外币之间的汇率。</w:t>
      </w:r>
    </w:p>
    <w:p w14:paraId="5C6FF4E1">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6.4投标文件应按照招标文件的规定编写并制作目录。</w:t>
      </w:r>
    </w:p>
    <w:p w14:paraId="428533CA">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6.5投标人应在投标文件中写清相应的项目编号、项目名称、投标人全称、地址、电话、传真等。</w:t>
      </w:r>
    </w:p>
    <w:p w14:paraId="51C1C205">
      <w:pPr>
        <w:widowControl/>
        <w:shd w:val="clear" w:color="auto" w:fill="FFFFFF"/>
        <w:spacing w:line="360" w:lineRule="auto"/>
        <w:ind w:firstLine="412"/>
        <w:rPr>
          <w:rFonts w:hint="eastAsia" w:ascii="宋体" w:hAnsi="宋体" w:cs="宋体"/>
          <w:kern w:val="0"/>
          <w:szCs w:val="21"/>
        </w:rPr>
      </w:pPr>
      <w:r>
        <w:rPr>
          <w:rFonts w:hint="eastAsia" w:ascii="宋体" w:hAnsi="宋体" w:cs="宋体"/>
          <w:bCs/>
          <w:kern w:val="0"/>
          <w:szCs w:val="21"/>
        </w:rPr>
        <w:t>6.6</w:t>
      </w:r>
      <w:r>
        <w:rPr>
          <w:rFonts w:hint="eastAsia" w:ascii="宋体" w:hAnsi="宋体" w:cs="宋体"/>
          <w:kern w:val="0"/>
          <w:szCs w:val="21"/>
        </w:rPr>
        <w:t>投标人根据招标文件载明的标的采购项目实际情况，拟在中标后将中标项目的非主体、非关键性工作交由他人完成的，应当在投标文件中载明。</w:t>
      </w:r>
    </w:p>
    <w:p w14:paraId="2954BBD8">
      <w:pPr>
        <w:widowControl/>
        <w:numPr>
          <w:ilvl w:val="0"/>
          <w:numId w:val="5"/>
        </w:numPr>
        <w:shd w:val="clear" w:color="auto" w:fill="FFFFFF"/>
        <w:spacing w:line="360" w:lineRule="auto"/>
        <w:ind w:firstLine="420"/>
        <w:rPr>
          <w:rFonts w:hint="eastAsia" w:ascii="宋体" w:hAnsi="宋体" w:cs="宋体"/>
          <w:b/>
          <w:bCs/>
          <w:kern w:val="0"/>
          <w:szCs w:val="21"/>
          <w:highlight w:val="none"/>
        </w:rPr>
      </w:pPr>
      <w:r>
        <w:rPr>
          <w:rFonts w:hint="eastAsia" w:ascii="宋体" w:hAnsi="宋体" w:cs="宋体"/>
          <w:b/>
          <w:bCs/>
          <w:kern w:val="0"/>
          <w:szCs w:val="21"/>
          <w:highlight w:val="none"/>
        </w:rPr>
        <w:t>联合体投标</w:t>
      </w:r>
      <w:r>
        <w:rPr>
          <w:rFonts w:hint="eastAsia" w:ascii="宋体" w:hAnsi="宋体" w:cs="宋体"/>
          <w:b/>
          <w:bCs/>
          <w:kern w:val="0"/>
          <w:szCs w:val="21"/>
          <w:highlight w:val="none"/>
          <w:lang w:eastAsia="zh-CN"/>
        </w:rPr>
        <w:t>（</w:t>
      </w:r>
      <w:r>
        <w:rPr>
          <w:rFonts w:hint="eastAsia" w:ascii="宋体" w:hAnsi="宋体" w:cs="宋体"/>
          <w:b/>
          <w:bCs/>
          <w:kern w:val="0"/>
          <w:szCs w:val="21"/>
          <w:highlight w:val="none"/>
          <w:lang w:val="en-US" w:eastAsia="zh-CN"/>
        </w:rPr>
        <w:t>如接受</w:t>
      </w:r>
      <w:r>
        <w:rPr>
          <w:rFonts w:hint="eastAsia" w:ascii="宋体" w:hAnsi="宋体" w:cs="宋体"/>
          <w:b/>
          <w:bCs/>
          <w:kern w:val="0"/>
          <w:szCs w:val="21"/>
          <w:highlight w:val="none"/>
          <w:lang w:eastAsia="zh-CN"/>
        </w:rPr>
        <w:t>）</w:t>
      </w:r>
    </w:p>
    <w:p w14:paraId="1EFC9EDE">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7.1 两个以上的自然人、法人或者其他组织可以组成一个联合体，以一个投标人的身份共同参加政府采购。</w:t>
      </w:r>
    </w:p>
    <w:p w14:paraId="12169B0F">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7.2 联合体中有同类资质的投标人按照联合体分工承担相同工作的，按照资质等级较低的投标人确定资质等级。</w:t>
      </w:r>
    </w:p>
    <w:p w14:paraId="39D69C25">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7.3 联合体各方之间应当签订联合体协议，明确约定联合体各方承担的工作和相应的责任，并将联合体协议连同投标文件一同提交。</w:t>
      </w:r>
    </w:p>
    <w:p w14:paraId="74F12520">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7.4 以联合体形式参加政府采购活动的，联合体各方不得再单独参加或者与其他投标人另外组成联合体参加同一合同项下的政府采购活动。</w:t>
      </w:r>
    </w:p>
    <w:p w14:paraId="7BD9CB30">
      <w:pPr>
        <w:widowControl/>
        <w:shd w:val="clear" w:color="auto" w:fill="FFFFFF"/>
        <w:spacing w:line="360" w:lineRule="auto"/>
        <w:ind w:firstLine="412"/>
        <w:rPr>
          <w:rFonts w:hint="eastAsia" w:ascii="宋体" w:hAnsi="宋体" w:cs="宋体"/>
          <w:kern w:val="0"/>
          <w:szCs w:val="21"/>
          <w:highlight w:val="none"/>
        </w:rPr>
      </w:pPr>
      <w:r>
        <w:rPr>
          <w:rFonts w:hint="eastAsia" w:ascii="宋体" w:hAnsi="宋体" w:cs="宋体"/>
          <w:b/>
          <w:bCs/>
          <w:kern w:val="0"/>
          <w:szCs w:val="21"/>
          <w:highlight w:val="none"/>
        </w:rPr>
        <w:t>8、投标文件的组成</w:t>
      </w:r>
    </w:p>
    <w:p w14:paraId="7D36D782">
      <w:pPr>
        <w:widowControl/>
        <w:shd w:val="clear" w:color="auto" w:fill="FFFFFF"/>
        <w:spacing w:line="360" w:lineRule="auto"/>
        <w:ind w:firstLine="420"/>
        <w:jc w:val="left"/>
        <w:rPr>
          <w:rFonts w:hint="eastAsia" w:ascii="宋体" w:hAnsi="宋体" w:cs="宋体"/>
          <w:b/>
          <w:kern w:val="0"/>
          <w:szCs w:val="21"/>
          <w:highlight w:val="none"/>
        </w:rPr>
      </w:pPr>
      <w:r>
        <w:rPr>
          <w:rFonts w:hint="eastAsia" w:ascii="宋体" w:hAnsi="宋体" w:cs="宋体"/>
          <w:kern w:val="0"/>
          <w:szCs w:val="21"/>
          <w:highlight w:val="none"/>
        </w:rPr>
        <w:t>8.1投标人应当根据招标文件要求编制投标文件，投标文件应对招标文件提出的要求和条件作出实质性响应，并在《商务条款偏离表》和《采购需求偏离表》等处逐条标明满足与否。</w:t>
      </w:r>
      <w:r>
        <w:rPr>
          <w:rFonts w:hint="eastAsia" w:ascii="宋体" w:hAnsi="宋体" w:cs="宋体"/>
          <w:b/>
          <w:kern w:val="0"/>
          <w:szCs w:val="21"/>
          <w:highlight w:val="none"/>
        </w:rPr>
        <w:t>对带</w:t>
      </w:r>
      <w:r>
        <w:rPr>
          <w:rFonts w:hint="eastAsia" w:ascii="宋体" w:hAnsi="宋体" w:cs="宋体"/>
          <w:b/>
          <w:bCs/>
          <w:kern w:val="0"/>
          <w:szCs w:val="21"/>
          <w:highlight w:val="none"/>
        </w:rPr>
        <w:t>星号（“</w:t>
      </w:r>
      <w:r>
        <w:rPr>
          <w:rFonts w:hint="eastAsia" w:ascii="宋体" w:hAnsi="宋体" w:cs="宋体"/>
          <w:b/>
          <w:bCs/>
          <w:highlight w:val="none"/>
        </w:rPr>
        <w:t>*</w:t>
      </w:r>
      <w:r>
        <w:rPr>
          <w:rFonts w:hint="eastAsia" w:ascii="宋体" w:hAnsi="宋体" w:cs="宋体"/>
          <w:b/>
          <w:bCs/>
          <w:kern w:val="0"/>
          <w:szCs w:val="21"/>
          <w:highlight w:val="none"/>
        </w:rPr>
        <w:t>”）的技术条款必须在投标文件中提供技术支持资料（如白皮书、彩页、手册、检测报告等），未提供技术支持资料的，视为未对招标文件实质性要求作出响应，评审时不予认可。</w:t>
      </w:r>
    </w:p>
    <w:p w14:paraId="0A8C7AB4">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8.2 投标文件由商务、技术、价格以及其他部分内容组成。投标文件目录及有关格式按招标文件“第六章 投标文件格式及附件”的要求编制。</w:t>
      </w:r>
    </w:p>
    <w:p w14:paraId="4D8638D0">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9、投标文件的商务内容</w:t>
      </w:r>
    </w:p>
    <w:p w14:paraId="2A1EBE9D">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9.1商务部分内容是证明投标人有资格参加投标和中标后有能力履行合同的文件，这些文件应能满足招标的要求，包括但不限于下列文件（</w:t>
      </w:r>
      <w:r>
        <w:rPr>
          <w:rFonts w:hint="eastAsia" w:ascii="宋体" w:hAnsi="宋体" w:cs="宋体"/>
          <w:b/>
          <w:kern w:val="0"/>
          <w:szCs w:val="21"/>
          <w:highlight w:val="none"/>
        </w:rPr>
        <w:t>（1）－（</w:t>
      </w:r>
      <w:r>
        <w:rPr>
          <w:rFonts w:hint="eastAsia" w:ascii="宋体" w:hAnsi="宋体" w:cs="宋体"/>
          <w:b/>
          <w:kern w:val="0"/>
          <w:szCs w:val="21"/>
          <w:highlight w:val="none"/>
          <w:lang w:val="en-US" w:eastAsia="zh-CN"/>
        </w:rPr>
        <w:t>4</w:t>
      </w:r>
      <w:r>
        <w:rPr>
          <w:rFonts w:hint="eastAsia" w:ascii="宋体" w:hAnsi="宋体" w:cs="宋体"/>
          <w:b/>
          <w:kern w:val="0"/>
          <w:szCs w:val="21"/>
          <w:highlight w:val="none"/>
        </w:rPr>
        <w:t>）所述材料不得有缺失或提供不全或不满足招标文件的实质性要求</w:t>
      </w:r>
      <w:r>
        <w:rPr>
          <w:rFonts w:hint="eastAsia" w:ascii="宋体" w:hAnsi="宋体" w:cs="宋体"/>
          <w:kern w:val="0"/>
          <w:szCs w:val="21"/>
          <w:highlight w:val="none"/>
        </w:rPr>
        <w:t>）：</w:t>
      </w:r>
    </w:p>
    <w:p w14:paraId="09CFC1E4">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（1）投标函（投标申请及声明）</w:t>
      </w:r>
      <w:r>
        <w:rPr>
          <w:rFonts w:hint="eastAsia" w:ascii="宋体" w:hAnsi="宋体" w:cs="宋体"/>
          <w:bCs/>
          <w:szCs w:val="21"/>
          <w:highlight w:val="none"/>
        </w:rPr>
        <w:t>（</w:t>
      </w:r>
      <w:r>
        <w:rPr>
          <w:rFonts w:hint="eastAsia" w:ascii="宋体" w:hAnsi="宋体" w:cs="宋体"/>
          <w:b/>
          <w:bCs/>
          <w:szCs w:val="21"/>
          <w:highlight w:val="none"/>
        </w:rPr>
        <w:t>格式见第六章</w:t>
      </w:r>
      <w:r>
        <w:rPr>
          <w:rFonts w:hint="eastAsia" w:ascii="宋体" w:hAnsi="宋体" w:cs="宋体"/>
          <w:bCs/>
          <w:szCs w:val="21"/>
          <w:highlight w:val="none"/>
        </w:rPr>
        <w:t>）</w:t>
      </w:r>
      <w:r>
        <w:rPr>
          <w:rFonts w:hint="eastAsia" w:ascii="宋体" w:hAnsi="宋体" w:cs="宋体"/>
          <w:kern w:val="0"/>
          <w:szCs w:val="21"/>
          <w:highlight w:val="none"/>
        </w:rPr>
        <w:t>；</w:t>
      </w:r>
    </w:p>
    <w:p w14:paraId="20ACDA93">
      <w:pPr>
        <w:widowControl/>
        <w:shd w:val="clear" w:color="auto" w:fill="FFFFFF"/>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（2）法人授权书</w:t>
      </w:r>
      <w:r>
        <w:rPr>
          <w:rFonts w:hint="eastAsia" w:ascii="宋体" w:hAnsi="宋体" w:cs="宋体"/>
          <w:bCs/>
          <w:szCs w:val="21"/>
          <w:highlight w:val="none"/>
        </w:rPr>
        <w:t>（</w:t>
      </w:r>
      <w:r>
        <w:rPr>
          <w:rFonts w:hint="eastAsia" w:ascii="宋体" w:hAnsi="宋体" w:cs="宋体"/>
          <w:b/>
          <w:bCs/>
          <w:szCs w:val="21"/>
          <w:highlight w:val="none"/>
        </w:rPr>
        <w:t>格式见第六章</w:t>
      </w:r>
      <w:r>
        <w:rPr>
          <w:rFonts w:hint="eastAsia" w:ascii="宋体" w:hAnsi="宋体" w:cs="宋体"/>
          <w:bCs/>
          <w:szCs w:val="21"/>
          <w:highlight w:val="none"/>
        </w:rPr>
        <w:t>）</w:t>
      </w:r>
      <w:r>
        <w:rPr>
          <w:rFonts w:hint="eastAsia" w:ascii="宋体" w:hAnsi="宋体" w:cs="宋体"/>
          <w:kern w:val="0"/>
          <w:szCs w:val="21"/>
          <w:highlight w:val="none"/>
        </w:rPr>
        <w:t>；</w:t>
      </w:r>
    </w:p>
    <w:p w14:paraId="5D1AAE20">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（3）投标人资格资信证明文件：</w:t>
      </w:r>
    </w:p>
    <w:p w14:paraId="26609F79">
      <w:pPr>
        <w:numPr>
          <w:ilvl w:val="1"/>
          <w:numId w:val="6"/>
        </w:numPr>
        <w:tabs>
          <w:tab w:val="left" w:pos="840"/>
        </w:tabs>
        <w:spacing w:line="360" w:lineRule="auto"/>
        <w:ind w:left="0" w:firstLine="367" w:firstLineChars="175"/>
        <w:rPr>
          <w:rFonts w:hint="eastAsia" w:ascii="宋体" w:hAnsi="宋体" w:cs="宋体"/>
          <w:bCs/>
          <w:szCs w:val="21"/>
          <w:highlight w:val="none"/>
        </w:rPr>
      </w:pPr>
      <w:r>
        <w:rPr>
          <w:rFonts w:hint="eastAsia" w:ascii="宋体" w:hAnsi="宋体" w:cs="宋体"/>
          <w:bCs/>
          <w:szCs w:val="21"/>
          <w:highlight w:val="none"/>
        </w:rPr>
        <w:t>第一章招标公告中 2.1《中华人民共和国政府采购法》规定的资格条件证明文件；</w:t>
      </w:r>
    </w:p>
    <w:p w14:paraId="7F482958">
      <w:pPr>
        <w:numPr>
          <w:ilvl w:val="1"/>
          <w:numId w:val="6"/>
        </w:numPr>
        <w:tabs>
          <w:tab w:val="left" w:pos="840"/>
        </w:tabs>
        <w:spacing w:line="360" w:lineRule="auto"/>
        <w:ind w:left="0" w:firstLine="367" w:firstLineChars="175"/>
        <w:rPr>
          <w:rFonts w:hint="eastAsia" w:ascii="宋体" w:hAnsi="宋体" w:cs="宋体"/>
          <w:bCs/>
          <w:szCs w:val="21"/>
          <w:highlight w:val="none"/>
        </w:rPr>
      </w:pPr>
      <w:r>
        <w:rPr>
          <w:rFonts w:hint="eastAsia" w:ascii="宋体" w:hAnsi="宋体" w:cs="宋体"/>
          <w:bCs/>
          <w:szCs w:val="21"/>
          <w:highlight w:val="none"/>
        </w:rPr>
        <w:t>第一章招标公告中 2.2</w:t>
      </w:r>
      <w:r>
        <w:rPr>
          <w:rFonts w:hint="eastAsia" w:ascii="宋体" w:hAnsi="宋体" w:cs="宋体"/>
          <w:spacing w:val="8"/>
          <w:kern w:val="0"/>
          <w:szCs w:val="21"/>
          <w:highlight w:val="none"/>
        </w:rPr>
        <w:t>落实政府采购政策需满足的资格要求；</w:t>
      </w:r>
    </w:p>
    <w:p w14:paraId="7787CF3F">
      <w:pPr>
        <w:numPr>
          <w:ilvl w:val="1"/>
          <w:numId w:val="6"/>
        </w:numPr>
        <w:tabs>
          <w:tab w:val="left" w:pos="840"/>
        </w:tabs>
        <w:spacing w:line="360" w:lineRule="auto"/>
        <w:ind w:left="0" w:firstLine="367" w:firstLineChars="175"/>
        <w:rPr>
          <w:rFonts w:hint="eastAsia" w:ascii="宋体" w:hAnsi="宋体" w:cs="宋体"/>
          <w:bCs/>
          <w:szCs w:val="21"/>
          <w:highlight w:val="none"/>
        </w:rPr>
      </w:pPr>
      <w:r>
        <w:rPr>
          <w:rFonts w:hint="eastAsia" w:ascii="宋体" w:hAnsi="宋体" w:cs="宋体"/>
          <w:bCs/>
          <w:szCs w:val="21"/>
          <w:highlight w:val="none"/>
        </w:rPr>
        <w:t>第一章招标公告中 2.3 采购人根据采购项目的特殊要求规定的特定条件证明文件。</w:t>
      </w:r>
    </w:p>
    <w:p w14:paraId="47D06AF8">
      <w:pPr>
        <w:widowControl/>
        <w:shd w:val="clear" w:color="auto" w:fill="FFFFFF"/>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（4）开标一览表及附表</w:t>
      </w:r>
      <w:r>
        <w:rPr>
          <w:rFonts w:hint="eastAsia" w:ascii="宋体" w:hAnsi="宋体" w:cs="宋体"/>
          <w:bCs/>
          <w:szCs w:val="21"/>
          <w:highlight w:val="none"/>
        </w:rPr>
        <w:t>（</w:t>
      </w:r>
      <w:r>
        <w:rPr>
          <w:rFonts w:hint="eastAsia" w:ascii="宋体" w:hAnsi="宋体" w:cs="宋体"/>
          <w:b/>
          <w:bCs/>
          <w:szCs w:val="21"/>
          <w:highlight w:val="none"/>
        </w:rPr>
        <w:t>格式见第六章</w:t>
      </w:r>
      <w:r>
        <w:rPr>
          <w:rFonts w:hint="eastAsia" w:ascii="宋体" w:hAnsi="宋体" w:cs="宋体"/>
          <w:bCs/>
          <w:szCs w:val="21"/>
          <w:highlight w:val="none"/>
        </w:rPr>
        <w:t>）；</w:t>
      </w:r>
    </w:p>
    <w:p w14:paraId="0F5FEEBD">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（5）《南京市政府采购供应商信用记录表暨信用承诺书》</w:t>
      </w:r>
      <w:r>
        <w:rPr>
          <w:rFonts w:hint="eastAsia" w:ascii="宋体" w:hAnsi="宋体" w:cs="宋体"/>
          <w:b/>
          <w:szCs w:val="21"/>
          <w:highlight w:val="none"/>
          <w:lang w:val="zh-CN"/>
        </w:rPr>
        <w:t>；</w:t>
      </w:r>
    </w:p>
    <w:p w14:paraId="606AF110">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（6）《商务条款偏离表》；</w:t>
      </w:r>
    </w:p>
    <w:p w14:paraId="2C62ECDA">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（7）第三章评标标准中对应的所需证明材料（如有自行添加）；</w:t>
      </w:r>
    </w:p>
    <w:p w14:paraId="58635191">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（8）要求采购人提供的配合（如有自拟并自行添加）；</w:t>
      </w:r>
    </w:p>
    <w:p w14:paraId="49433FB8">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（9）其他（投标人认为有必要提供的声明和文件，如有，自行拟定并添加）。</w:t>
      </w:r>
    </w:p>
    <w:p w14:paraId="145E6F5F">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b/>
          <w:bCs/>
          <w:kern w:val="0"/>
          <w:szCs w:val="21"/>
          <w:highlight w:val="none"/>
        </w:rPr>
        <w:t>10、投标文件的技术内容</w:t>
      </w:r>
    </w:p>
    <w:p w14:paraId="1F62B027">
      <w:pPr>
        <w:widowControl/>
        <w:adjustRightInd w:val="0"/>
        <w:spacing w:line="360" w:lineRule="auto"/>
        <w:ind w:firstLine="420"/>
        <w:jc w:val="left"/>
        <w:rPr>
          <w:rFonts w:hint="eastAsia" w:ascii="宋体" w:hAnsi="宋体" w:cs="宋体"/>
          <w:szCs w:val="21"/>
          <w:lang w:val="zh-CN"/>
        </w:rPr>
      </w:pPr>
      <w:r>
        <w:rPr>
          <w:rFonts w:hint="eastAsia" w:ascii="宋体" w:hAnsi="宋体" w:cs="宋体"/>
          <w:szCs w:val="21"/>
          <w:highlight w:val="none"/>
          <w:lang w:val="zh-CN"/>
        </w:rPr>
        <w:t>技术部分</w:t>
      </w:r>
      <w:r>
        <w:rPr>
          <w:rFonts w:hint="eastAsia" w:ascii="宋体" w:hAnsi="宋体" w:cs="宋体"/>
          <w:kern w:val="0"/>
          <w:szCs w:val="21"/>
          <w:highlight w:val="none"/>
        </w:rPr>
        <w:t>内容</w:t>
      </w:r>
      <w:r>
        <w:rPr>
          <w:rFonts w:hint="eastAsia" w:ascii="宋体" w:hAnsi="宋体" w:cs="宋体"/>
          <w:szCs w:val="21"/>
          <w:highlight w:val="none"/>
          <w:lang w:val="zh-CN"/>
        </w:rPr>
        <w:t>是证明</w:t>
      </w:r>
      <w:r>
        <w:rPr>
          <w:rFonts w:hint="eastAsia" w:ascii="宋体" w:hAnsi="宋体" w:cs="宋体"/>
          <w:szCs w:val="21"/>
          <w:highlight w:val="none"/>
        </w:rPr>
        <w:t>投标人提供的货物和服务是合格的、并符合招标文件要求的证明文件，以及</w:t>
      </w:r>
      <w:r>
        <w:rPr>
          <w:rFonts w:hint="eastAsia" w:ascii="宋体" w:hAnsi="宋体" w:cs="宋体"/>
          <w:szCs w:val="21"/>
          <w:lang w:val="zh-CN"/>
        </w:rPr>
        <w:t>对货物和服务的详细说明，这些文件可以是文字资料、图纸、数据</w:t>
      </w:r>
      <w:r>
        <w:rPr>
          <w:rFonts w:hint="eastAsia" w:ascii="宋体" w:hAnsi="宋体" w:cs="宋体"/>
          <w:szCs w:val="21"/>
        </w:rPr>
        <w:t>或其他证明文件</w:t>
      </w:r>
      <w:r>
        <w:rPr>
          <w:rFonts w:hint="eastAsia" w:ascii="宋体" w:hAnsi="宋体" w:cs="宋体"/>
          <w:szCs w:val="21"/>
          <w:lang w:val="zh-CN"/>
        </w:rPr>
        <w:t>等。提供的货物和服务如与招标文件要求有不符之处，应说明其差别之所在。包括但不限于下列文件：</w:t>
      </w:r>
    </w:p>
    <w:p w14:paraId="14D1D596">
      <w:pPr>
        <w:widowControl/>
        <w:adjustRightInd w:val="0"/>
        <w:spacing w:line="360" w:lineRule="auto"/>
        <w:ind w:firstLine="420"/>
        <w:jc w:val="left"/>
        <w:rPr>
          <w:rFonts w:hint="eastAsia" w:ascii="宋体" w:hAnsi="宋体" w:cs="宋体"/>
          <w:kern w:val="0"/>
          <w:szCs w:val="21"/>
          <w:lang w:val="zh-CN"/>
        </w:rPr>
      </w:pPr>
      <w:r>
        <w:rPr>
          <w:rFonts w:hint="eastAsia" w:ascii="宋体" w:hAnsi="宋体" w:cs="宋体"/>
          <w:kern w:val="0"/>
          <w:szCs w:val="21"/>
          <w:lang w:val="zh-CN"/>
        </w:rPr>
        <w:t>（1）技术说明或服务方案；</w:t>
      </w:r>
    </w:p>
    <w:p w14:paraId="55C86D5A">
      <w:pPr>
        <w:widowControl/>
        <w:adjustRightInd w:val="0"/>
        <w:spacing w:line="360" w:lineRule="auto"/>
        <w:ind w:firstLine="420"/>
        <w:jc w:val="left"/>
        <w:rPr>
          <w:rFonts w:hint="eastAsia" w:ascii="宋体" w:hAnsi="宋体" w:cs="宋体"/>
          <w:kern w:val="0"/>
          <w:szCs w:val="21"/>
          <w:lang w:val="zh-CN"/>
        </w:rPr>
      </w:pPr>
      <w:r>
        <w:rPr>
          <w:rFonts w:hint="eastAsia" w:ascii="宋体" w:hAnsi="宋体" w:cs="宋体"/>
          <w:kern w:val="0"/>
          <w:szCs w:val="21"/>
          <w:lang w:val="zh-CN"/>
        </w:rPr>
        <w:t>（2）《采购需求偏离表》；</w:t>
      </w:r>
    </w:p>
    <w:p w14:paraId="1158CE0E">
      <w:pPr>
        <w:widowControl/>
        <w:adjustRightInd w:val="0"/>
        <w:spacing w:line="360" w:lineRule="auto"/>
        <w:ind w:firstLine="420"/>
        <w:jc w:val="left"/>
        <w:rPr>
          <w:rFonts w:hint="eastAsia" w:ascii="宋体" w:hAnsi="宋体" w:cs="宋体"/>
          <w:kern w:val="0"/>
          <w:szCs w:val="21"/>
          <w:lang w:val="zh-CN"/>
        </w:rPr>
      </w:pPr>
      <w:r>
        <w:rPr>
          <w:rFonts w:hint="eastAsia" w:ascii="宋体" w:hAnsi="宋体" w:cs="宋体"/>
          <w:kern w:val="0"/>
          <w:szCs w:val="21"/>
          <w:lang w:val="zh-CN"/>
        </w:rPr>
        <w:t>（3）服务承诺；</w:t>
      </w:r>
    </w:p>
    <w:p w14:paraId="61052880">
      <w:pPr>
        <w:widowControl/>
        <w:adjustRightInd w:val="0"/>
        <w:spacing w:line="360" w:lineRule="auto"/>
        <w:ind w:firstLine="420"/>
        <w:jc w:val="left"/>
        <w:rPr>
          <w:rFonts w:hint="eastAsia" w:ascii="宋体" w:hAnsi="宋体" w:cs="宋体"/>
          <w:kern w:val="0"/>
          <w:szCs w:val="21"/>
          <w:lang w:val="zh-CN"/>
        </w:rPr>
      </w:pPr>
      <w:r>
        <w:rPr>
          <w:rFonts w:hint="eastAsia" w:ascii="宋体" w:hAnsi="宋体" w:cs="宋体"/>
          <w:kern w:val="0"/>
          <w:szCs w:val="21"/>
          <w:lang w:val="zh-CN"/>
        </w:rPr>
        <w:t>（4）投标人拟投入本项目的设备、人员情况一览表；</w:t>
      </w:r>
    </w:p>
    <w:p w14:paraId="690083C7">
      <w:pPr>
        <w:widowControl/>
        <w:adjustRightInd w:val="0"/>
        <w:spacing w:line="360" w:lineRule="auto"/>
        <w:ind w:firstLine="420"/>
        <w:jc w:val="left"/>
        <w:rPr>
          <w:rFonts w:hint="eastAsia" w:ascii="宋体" w:hAnsi="宋体" w:cs="宋体"/>
          <w:kern w:val="0"/>
          <w:szCs w:val="21"/>
          <w:lang w:val="zh-CN"/>
        </w:rPr>
      </w:pPr>
      <w:r>
        <w:rPr>
          <w:rFonts w:hint="eastAsia" w:ascii="宋体" w:hAnsi="宋体" w:cs="宋体"/>
          <w:kern w:val="0"/>
          <w:szCs w:val="21"/>
          <w:lang w:val="zh-CN"/>
        </w:rPr>
        <w:t>（5）投标人认为需要提供的其他技术资料。</w:t>
      </w:r>
    </w:p>
    <w:p w14:paraId="3961139E">
      <w:pPr>
        <w:widowControl/>
        <w:shd w:val="clear" w:color="auto" w:fill="FFFFFF"/>
        <w:spacing w:line="360" w:lineRule="auto"/>
        <w:ind w:firstLine="420"/>
        <w:rPr>
          <w:rFonts w:hint="eastAsia" w:ascii="宋体" w:hAnsi="宋体" w:cs="宋体"/>
          <w:kern w:val="0"/>
          <w:szCs w:val="21"/>
        </w:rPr>
      </w:pPr>
      <w:r>
        <w:rPr>
          <w:rFonts w:hint="eastAsia" w:ascii="宋体" w:hAnsi="宋体" w:cs="宋体"/>
          <w:b/>
          <w:bCs/>
          <w:kern w:val="0"/>
          <w:szCs w:val="21"/>
        </w:rPr>
        <w:t>11、投标文件的价格内容</w:t>
      </w:r>
    </w:p>
    <w:p w14:paraId="3D44E7DE">
      <w:pPr>
        <w:widowControl/>
        <w:shd w:val="clear" w:color="auto" w:fill="FFFFFF"/>
        <w:spacing w:line="360" w:lineRule="auto"/>
        <w:ind w:firstLine="420"/>
        <w:jc w:val="left"/>
        <w:rPr>
          <w:rFonts w:hint="eastAsia" w:ascii="宋体" w:hAnsi="宋体" w:cs="宋体"/>
          <w:kern w:val="0"/>
          <w:szCs w:val="21"/>
        </w:rPr>
      </w:pPr>
      <w:r>
        <w:rPr>
          <w:rFonts w:hint="eastAsia" w:ascii="宋体" w:hAnsi="宋体" w:cs="宋体"/>
          <w:kern w:val="0"/>
          <w:szCs w:val="21"/>
        </w:rPr>
        <w:t>11.1价格部分内容是对采购标的价格构成的说明，招标文件如无特别说明，每一项货物及服务仅接受一个价格。</w:t>
      </w:r>
    </w:p>
    <w:p w14:paraId="1C5FF47D">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11.2报价应包含为履行本项目合同项下所有义务的全部含税费用</w:t>
      </w:r>
      <w:r>
        <w:rPr>
          <w:rFonts w:hint="eastAsia" w:ascii="宋体" w:hAnsi="宋体" w:cs="宋体"/>
          <w:kern w:val="0"/>
          <w:szCs w:val="21"/>
          <w:lang w:val="zh-CN"/>
        </w:rPr>
        <w:t>，</w:t>
      </w:r>
      <w:r>
        <w:rPr>
          <w:rFonts w:hint="eastAsia" w:ascii="宋体" w:hAnsi="宋体" w:cs="宋体"/>
          <w:bCs/>
          <w:szCs w:val="21"/>
        </w:rPr>
        <w:t>采购人不再支付任何其他费用</w:t>
      </w:r>
      <w:r>
        <w:rPr>
          <w:rFonts w:hint="eastAsia" w:ascii="宋体" w:hAnsi="宋体" w:cs="宋体"/>
          <w:b/>
          <w:szCs w:val="21"/>
        </w:rPr>
        <w:t>。</w:t>
      </w:r>
    </w:p>
    <w:p w14:paraId="1A5A0E79">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11.3投标人的任何错漏、优惠、竞争性报价不得作为减轻责任、减少服务、增加收费、降低质量的理由。</w:t>
      </w:r>
    </w:p>
    <w:p w14:paraId="321A429D">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11.4</w:t>
      </w:r>
      <w:bookmarkStart w:id="7" w:name="OLE_LINK4"/>
      <w:r>
        <w:rPr>
          <w:rFonts w:hint="eastAsia" w:ascii="宋体" w:hAnsi="宋体" w:cs="宋体"/>
          <w:kern w:val="0"/>
          <w:szCs w:val="21"/>
        </w:rPr>
        <w:t>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w:t>
      </w:r>
      <w:r>
        <w:rPr>
          <w:rFonts w:hint="eastAsia" w:ascii="宋体" w:hAnsi="宋体" w:cs="宋体"/>
          <w:b/>
          <w:bCs/>
          <w:kern w:val="0"/>
          <w:szCs w:val="21"/>
        </w:rPr>
        <w:t>无效投标处理</w:t>
      </w:r>
      <w:r>
        <w:rPr>
          <w:rFonts w:hint="eastAsia" w:ascii="宋体" w:hAnsi="宋体" w:cs="宋体"/>
          <w:kern w:val="0"/>
          <w:szCs w:val="21"/>
        </w:rPr>
        <w:t>。</w:t>
      </w:r>
      <w:bookmarkEnd w:id="7"/>
    </w:p>
    <w:p w14:paraId="0719A21F">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11.5 投标人应在《开标一览表》《分项报价表》等标明投标货物和服务的单价、总价以及分项报价等。</w:t>
      </w:r>
    </w:p>
    <w:p w14:paraId="3E314115">
      <w:pPr>
        <w:widowControl/>
        <w:shd w:val="clear" w:color="auto" w:fill="FFFFFF"/>
        <w:spacing w:line="360" w:lineRule="auto"/>
        <w:ind w:firstLine="420"/>
        <w:rPr>
          <w:rFonts w:hint="eastAsia" w:ascii="宋体" w:hAnsi="宋体" w:cs="宋体"/>
          <w:b/>
          <w:bCs/>
          <w:kern w:val="0"/>
          <w:szCs w:val="21"/>
        </w:rPr>
      </w:pPr>
      <w:r>
        <w:rPr>
          <w:rFonts w:hint="eastAsia" w:ascii="宋体" w:hAnsi="宋体" w:cs="宋体"/>
          <w:kern w:val="0"/>
          <w:szCs w:val="21"/>
        </w:rPr>
        <w:t>11.6 对于采用货币报价的项目，开标一览表中的投标总报价应与投标报价明细表中的投标总报价一致，如不一致不作为无效投标处理，评标时以开标一览表中价格为准。</w:t>
      </w:r>
    </w:p>
    <w:p w14:paraId="50B72AE4">
      <w:pPr>
        <w:widowControl/>
        <w:spacing w:line="360" w:lineRule="auto"/>
        <w:ind w:firstLine="420"/>
        <w:rPr>
          <w:rFonts w:hint="eastAsia" w:ascii="宋体" w:hAnsi="宋体" w:cs="宋体"/>
          <w:kern w:val="0"/>
          <w:szCs w:val="21"/>
        </w:rPr>
      </w:pPr>
      <w:r>
        <w:rPr>
          <w:rFonts w:hint="eastAsia" w:ascii="宋体" w:hAnsi="宋体" w:cs="宋体"/>
          <w:b/>
          <w:bCs/>
          <w:kern w:val="0"/>
          <w:szCs w:val="21"/>
        </w:rPr>
        <w:t>11.7本项目预算为：详见第一章</w:t>
      </w:r>
      <w:r>
        <w:rPr>
          <w:rFonts w:hint="eastAsia" w:ascii="宋体" w:hAnsi="宋体" w:cs="宋体"/>
          <w:bCs/>
          <w:kern w:val="0"/>
          <w:szCs w:val="21"/>
        </w:rPr>
        <w:t>。</w:t>
      </w:r>
    </w:p>
    <w:p w14:paraId="68C8780A">
      <w:pPr>
        <w:widowControl/>
        <w:shd w:val="clear" w:color="auto" w:fill="FFFFFF"/>
        <w:spacing w:line="360" w:lineRule="auto"/>
        <w:ind w:firstLine="420"/>
        <w:rPr>
          <w:rFonts w:hint="eastAsia" w:ascii="宋体" w:hAnsi="宋体" w:cs="宋体"/>
          <w:kern w:val="0"/>
          <w:szCs w:val="21"/>
        </w:rPr>
      </w:pPr>
      <w:r>
        <w:rPr>
          <w:rFonts w:hint="eastAsia" w:ascii="宋体" w:hAnsi="宋体" w:cs="宋体"/>
          <w:b/>
          <w:bCs/>
          <w:kern w:val="0"/>
          <w:szCs w:val="21"/>
        </w:rPr>
        <w:t>12、投标文件的其他部分</w:t>
      </w:r>
    </w:p>
    <w:p w14:paraId="40616E45">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12.1 其他部分由投标人根据编制投标文件需要提供的其他相关文件组成。</w:t>
      </w:r>
    </w:p>
    <w:p w14:paraId="4EA993BB">
      <w:pPr>
        <w:autoSpaceDE w:val="0"/>
        <w:autoSpaceDN w:val="0"/>
        <w:spacing w:line="360" w:lineRule="auto"/>
        <w:ind w:firstLine="420"/>
        <w:rPr>
          <w:rFonts w:ascii="Arial" w:hAnsi="Arial"/>
          <w:szCs w:val="21"/>
        </w:rPr>
      </w:pPr>
      <w:r>
        <w:rPr>
          <w:rFonts w:hint="eastAsia" w:ascii="宋体" w:hAnsi="宋体" w:cs="宋体"/>
          <w:kern w:val="0"/>
          <w:szCs w:val="21"/>
        </w:rPr>
        <w:t>12.2</w:t>
      </w:r>
      <w:r>
        <w:rPr>
          <w:rFonts w:hint="eastAsia" w:ascii="Arial" w:hAnsi="Arial"/>
          <w:szCs w:val="21"/>
        </w:rPr>
        <w:t xml:space="preserve"> </w:t>
      </w:r>
      <w:r>
        <w:rPr>
          <w:rFonts w:hint="eastAsia" w:ascii="Arial" w:hAnsi="Arial"/>
          <w:szCs w:val="21"/>
          <w:lang w:val="zh-CN"/>
        </w:rPr>
        <w:t>如标书制作工具中格式和内容与“南京公共采购信息网、江苏政府采购网、中国政府采购网”发布的</w:t>
      </w:r>
      <w:r>
        <w:rPr>
          <w:rFonts w:hint="eastAsia" w:ascii="Arial" w:hAnsi="Arial"/>
          <w:szCs w:val="21"/>
        </w:rPr>
        <w:t>采购</w:t>
      </w:r>
      <w:r>
        <w:rPr>
          <w:rFonts w:hint="eastAsia" w:ascii="Arial" w:hAnsi="Arial"/>
          <w:szCs w:val="21"/>
          <w:lang w:val="zh-CN"/>
        </w:rPr>
        <w:t>文件不一致，以</w:t>
      </w:r>
      <w:r>
        <w:rPr>
          <w:rFonts w:hint="eastAsia" w:ascii="Arial" w:hAnsi="Arial"/>
          <w:szCs w:val="21"/>
        </w:rPr>
        <w:t>上述网站</w:t>
      </w:r>
      <w:r>
        <w:rPr>
          <w:rFonts w:hint="eastAsia" w:ascii="Arial" w:hAnsi="Arial"/>
          <w:szCs w:val="21"/>
          <w:lang w:val="zh-CN"/>
        </w:rPr>
        <w:t>发布的</w:t>
      </w:r>
      <w:r>
        <w:rPr>
          <w:rFonts w:hint="eastAsia" w:ascii="Arial" w:hAnsi="Arial"/>
          <w:szCs w:val="21"/>
        </w:rPr>
        <w:t>采购</w:t>
      </w:r>
      <w:r>
        <w:rPr>
          <w:rFonts w:hint="eastAsia" w:ascii="Arial" w:hAnsi="Arial"/>
          <w:szCs w:val="21"/>
          <w:lang w:val="zh-CN"/>
        </w:rPr>
        <w:t>文件为准。</w:t>
      </w:r>
    </w:p>
    <w:p w14:paraId="228DE238">
      <w:pPr>
        <w:widowControl/>
        <w:shd w:val="clear" w:color="auto" w:fill="FFFFFF"/>
        <w:spacing w:line="360" w:lineRule="auto"/>
        <w:ind w:firstLine="420"/>
        <w:rPr>
          <w:rFonts w:hint="eastAsia" w:ascii="宋体" w:hAnsi="宋体" w:cs="宋体"/>
          <w:b/>
          <w:bCs/>
          <w:kern w:val="0"/>
          <w:szCs w:val="21"/>
        </w:rPr>
      </w:pPr>
      <w:r>
        <w:rPr>
          <w:rFonts w:hint="eastAsia" w:ascii="宋体" w:hAnsi="宋体" w:cs="宋体"/>
          <w:b/>
          <w:bCs/>
          <w:kern w:val="0"/>
          <w:szCs w:val="21"/>
        </w:rPr>
        <w:t>13、投标保证金（本项目无需缴纳投标保证金）</w:t>
      </w:r>
    </w:p>
    <w:p w14:paraId="163CAE46">
      <w:pPr>
        <w:widowControl/>
        <w:shd w:val="clear" w:color="auto" w:fill="FFFFFF"/>
        <w:spacing w:line="360" w:lineRule="auto"/>
        <w:ind w:firstLine="420"/>
        <w:rPr>
          <w:rFonts w:hint="eastAsia" w:ascii="宋体" w:hAnsi="宋体" w:cs="宋体"/>
          <w:b/>
          <w:bCs/>
          <w:kern w:val="0"/>
          <w:szCs w:val="21"/>
        </w:rPr>
      </w:pPr>
      <w:r>
        <w:rPr>
          <w:rFonts w:hint="eastAsia" w:ascii="宋体" w:hAnsi="宋体" w:cs="宋体"/>
          <w:b/>
          <w:bCs/>
          <w:kern w:val="0"/>
          <w:szCs w:val="21"/>
        </w:rPr>
        <w:t>14、投标有效期</w:t>
      </w:r>
    </w:p>
    <w:p w14:paraId="62F8A5E3">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14.1 自开标之日起</w:t>
      </w:r>
      <w:r>
        <w:rPr>
          <w:rFonts w:hint="eastAsia" w:ascii="宋体" w:hAnsi="宋体" w:cs="宋体"/>
          <w:b/>
          <w:kern w:val="0"/>
          <w:szCs w:val="21"/>
        </w:rPr>
        <w:t>90</w:t>
      </w:r>
      <w:r>
        <w:rPr>
          <w:rFonts w:hint="eastAsia" w:ascii="宋体" w:hAnsi="宋体" w:cs="宋体"/>
          <w:kern w:val="0"/>
          <w:szCs w:val="21"/>
        </w:rPr>
        <w:t>天内投标有效</w:t>
      </w:r>
      <w:r>
        <w:rPr>
          <w:rFonts w:hint="eastAsia" w:ascii="宋体" w:hAnsi="宋体" w:cs="宋体"/>
          <w:b/>
        </w:rPr>
        <w:t>，投标有效期从提交投标文件的截止之日起算。投标文件中承诺的投标有效期应当不少于招标文件中载明的投标有效期。</w:t>
      </w:r>
    </w:p>
    <w:p w14:paraId="4DA60AD4">
      <w:pPr>
        <w:widowControl/>
        <w:shd w:val="clear" w:color="auto" w:fill="FFFFFF"/>
        <w:spacing w:line="360" w:lineRule="auto"/>
        <w:ind w:firstLine="420"/>
        <w:rPr>
          <w:rFonts w:hint="eastAsia" w:ascii="宋体" w:hAnsi="宋体" w:eastAsia="宋体" w:cs="宋体"/>
          <w:kern w:val="0"/>
          <w:szCs w:val="21"/>
          <w:lang w:eastAsia="zh-CN"/>
        </w:rPr>
      </w:pPr>
      <w:r>
        <w:rPr>
          <w:rFonts w:hint="eastAsia" w:ascii="宋体" w:hAnsi="宋体" w:cs="宋体"/>
          <w:kern w:val="0"/>
          <w:szCs w:val="21"/>
        </w:rPr>
        <w:t>14.2 特殊情况下，在原投标有效期截止之前，采购代理机构可要求投标人同意延长投标有效期，这种要求与答复均应以书面形式提交。投标人可拒绝这种要求</w:t>
      </w:r>
      <w:r>
        <w:rPr>
          <w:rFonts w:hint="eastAsia" w:ascii="宋体" w:hAnsi="宋体" w:cs="宋体"/>
          <w:kern w:val="0"/>
          <w:szCs w:val="21"/>
          <w:lang w:eastAsia="zh-CN"/>
        </w:rPr>
        <w:t>，</w:t>
      </w:r>
      <w:r>
        <w:rPr>
          <w:rFonts w:hint="eastAsia" w:ascii="宋体" w:hAnsi="宋体" w:cs="宋体"/>
          <w:kern w:val="0"/>
          <w:szCs w:val="21"/>
        </w:rPr>
        <w:t>并且不影响投标保证金的退还。接受延长投标有效期的投标人将不会要求和允许修正其投标，而只会被要求相应地延长其投标保证金的有效期。在这种情况下，有关投标保证金的退还规定在延长了的有效期内继续有效。</w:t>
      </w:r>
      <w:r>
        <w:rPr>
          <w:rFonts w:hint="eastAsia" w:ascii="宋体" w:hAnsi="宋体" w:cs="宋体"/>
          <w:kern w:val="0"/>
          <w:szCs w:val="21"/>
          <w:lang w:eastAsia="zh-CN"/>
        </w:rPr>
        <w:t>（在本项目无需缴纳投标保证金的情况下，投标保证金相关约定不适用）</w:t>
      </w:r>
    </w:p>
    <w:p w14:paraId="07E32C30">
      <w:pPr>
        <w:widowControl/>
        <w:shd w:val="clear" w:color="auto" w:fill="FFFFFF"/>
        <w:spacing w:line="360" w:lineRule="auto"/>
        <w:ind w:firstLine="420"/>
        <w:rPr>
          <w:rFonts w:hint="eastAsia" w:ascii="宋体" w:hAnsi="宋体" w:cs="宋体"/>
          <w:kern w:val="0"/>
          <w:szCs w:val="21"/>
        </w:rPr>
      </w:pPr>
      <w:r>
        <w:rPr>
          <w:rFonts w:hint="eastAsia" w:ascii="宋体" w:hAnsi="宋体" w:cs="宋体"/>
          <w:b/>
          <w:bCs/>
          <w:kern w:val="0"/>
          <w:szCs w:val="21"/>
        </w:rPr>
        <w:t>15、投标文件签署</w:t>
      </w:r>
    </w:p>
    <w:p w14:paraId="1E3D916B">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15.1 投标文件应按照招标文件要求加盖电子公章，否则视为无效投标。</w:t>
      </w:r>
    </w:p>
    <w:p w14:paraId="3B4902EA">
      <w:pPr>
        <w:widowControl/>
        <w:shd w:val="clear" w:color="auto" w:fill="FFFFFF"/>
        <w:spacing w:line="360" w:lineRule="auto"/>
        <w:ind w:firstLine="420"/>
        <w:rPr>
          <w:rFonts w:hint="eastAsia" w:ascii="宋体" w:hAnsi="宋体" w:cs="宋体"/>
          <w:kern w:val="0"/>
          <w:szCs w:val="21"/>
        </w:rPr>
      </w:pPr>
      <w:r>
        <w:rPr>
          <w:rFonts w:hint="eastAsia" w:ascii="宋体" w:hAnsi="宋体" w:cs="宋体"/>
          <w:b/>
          <w:bCs/>
          <w:kern w:val="0"/>
          <w:szCs w:val="21"/>
        </w:rPr>
        <w:t>16、投标费用</w:t>
      </w:r>
    </w:p>
    <w:p w14:paraId="47A8A160">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16.1 投标人应承担所有与准备和参加投标有关的费用，无论招标结果如何，采购代理机构和采购人在任何情况下均无义务和责任承担这些费用。</w:t>
      </w:r>
    </w:p>
    <w:p w14:paraId="1919F925">
      <w:pPr>
        <w:widowControl/>
        <w:shd w:val="clear" w:color="auto" w:fill="FFFFFF"/>
        <w:spacing w:line="360" w:lineRule="auto"/>
        <w:ind w:firstLine="420"/>
        <w:rPr>
          <w:rFonts w:hint="eastAsia" w:ascii="宋体" w:hAnsi="宋体" w:cs="宋体"/>
          <w:bCs/>
          <w:kern w:val="0"/>
          <w:szCs w:val="21"/>
        </w:rPr>
      </w:pPr>
      <w:r>
        <w:rPr>
          <w:rFonts w:hint="eastAsia" w:ascii="宋体" w:hAnsi="宋体" w:cs="宋体"/>
          <w:bCs/>
          <w:kern w:val="0"/>
          <w:szCs w:val="21"/>
        </w:rPr>
        <w:t>16.2 招标代理服务费：</w:t>
      </w:r>
    </w:p>
    <w:p w14:paraId="0C4E7996">
      <w:pPr>
        <w:widowControl/>
        <w:shd w:val="clear" w:color="auto" w:fill="FFFFFF"/>
        <w:spacing w:line="360" w:lineRule="auto"/>
        <w:ind w:firstLine="420"/>
        <w:rPr>
          <w:rFonts w:hint="eastAsia" w:ascii="宋体" w:hAnsi="宋体" w:cs="宋体"/>
          <w:bCs/>
          <w:kern w:val="0"/>
          <w:szCs w:val="21"/>
        </w:rPr>
      </w:pPr>
      <w:r>
        <w:rPr>
          <w:rFonts w:hint="eastAsia" w:ascii="宋体" w:hAnsi="宋体" w:cs="宋体"/>
          <w:bCs/>
          <w:kern w:val="0"/>
          <w:szCs w:val="21"/>
        </w:rPr>
        <w:t>本次招标，</w:t>
      </w:r>
      <w:r>
        <w:rPr>
          <w:rFonts w:hint="eastAsia" w:ascii="宋体" w:hAnsi="宋体" w:cs="宋体"/>
          <w:bCs/>
          <w:kern w:val="0"/>
          <w:szCs w:val="21"/>
          <w:lang w:val="en-US" w:eastAsia="zh-CN"/>
        </w:rPr>
        <w:t>按中标供应商所中标段预算额</w:t>
      </w:r>
      <w:r>
        <w:rPr>
          <w:rFonts w:hint="eastAsia" w:ascii="宋体" w:hAnsi="宋体" w:cs="宋体"/>
          <w:bCs/>
          <w:kern w:val="0"/>
          <w:szCs w:val="21"/>
        </w:rPr>
        <w:t>根据《招标代理服务收费管理暂行办法》计价格【2002】1980号文的70%基准收费（不足6000按照6000计算）。在领取中标通知书前向招标代理机构支付招标服务费。本项费用无需在投标报价表中单列。</w:t>
      </w:r>
    </w:p>
    <w:p w14:paraId="23545268">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16.3开标公证费：无。</w:t>
      </w:r>
    </w:p>
    <w:p w14:paraId="389ED841">
      <w:pPr>
        <w:widowControl/>
        <w:shd w:val="clear" w:color="auto" w:fill="FFFFFF"/>
        <w:spacing w:line="360" w:lineRule="auto"/>
        <w:ind w:firstLine="420"/>
        <w:rPr>
          <w:rFonts w:hint="eastAsia" w:ascii="宋体" w:hAnsi="宋体" w:cs="宋体"/>
          <w:kern w:val="0"/>
          <w:szCs w:val="21"/>
        </w:rPr>
      </w:pPr>
      <w:r>
        <w:rPr>
          <w:rFonts w:hint="eastAsia" w:ascii="宋体" w:hAnsi="宋体" w:cs="宋体"/>
          <w:b/>
          <w:bCs/>
          <w:kern w:val="0"/>
          <w:szCs w:val="21"/>
        </w:rPr>
        <w:t>四、投标文件的递交</w:t>
      </w:r>
    </w:p>
    <w:p w14:paraId="5CF42530">
      <w:pPr>
        <w:widowControl/>
        <w:shd w:val="clear" w:color="auto" w:fill="FFFFFF"/>
        <w:spacing w:line="360" w:lineRule="auto"/>
        <w:ind w:firstLine="420"/>
        <w:rPr>
          <w:rFonts w:hint="eastAsia" w:ascii="宋体" w:hAnsi="宋体" w:cs="宋体"/>
          <w:b/>
          <w:bCs/>
          <w:kern w:val="0"/>
          <w:szCs w:val="21"/>
        </w:rPr>
      </w:pPr>
      <w:r>
        <w:rPr>
          <w:rFonts w:hint="eastAsia" w:ascii="宋体" w:hAnsi="宋体" w:cs="宋体"/>
          <w:b/>
          <w:bCs/>
          <w:kern w:val="0"/>
          <w:szCs w:val="21"/>
        </w:rPr>
        <w:t>17、投标文件的递交</w:t>
      </w:r>
    </w:p>
    <w:p w14:paraId="6468866D">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17.1 投标人应当按照《操作手册》规定，在招标公告规定的投标截止时间前制作并上传电子投标文件。招标代理机构拒绝接收提交投标文件截止时间后上传的任何电子投标文件。</w:t>
      </w:r>
    </w:p>
    <w:p w14:paraId="0B779192">
      <w:pPr>
        <w:widowControl/>
        <w:shd w:val="clear" w:color="auto" w:fill="FFFFFF"/>
        <w:spacing w:line="360" w:lineRule="auto"/>
        <w:ind w:firstLine="420"/>
        <w:rPr>
          <w:rFonts w:hint="eastAsia" w:ascii="宋体" w:hAnsi="宋体" w:cs="宋体"/>
          <w:b/>
          <w:bCs/>
          <w:kern w:val="0"/>
          <w:szCs w:val="21"/>
        </w:rPr>
      </w:pPr>
      <w:r>
        <w:rPr>
          <w:rFonts w:hint="eastAsia" w:ascii="宋体" w:hAnsi="宋体" w:cs="宋体"/>
          <w:b/>
          <w:bCs/>
          <w:kern w:val="0"/>
          <w:szCs w:val="21"/>
        </w:rPr>
        <w:t>18、投标文件的解密</w:t>
      </w:r>
    </w:p>
    <w:p w14:paraId="0948FA8C">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18.1 投标人应当按照《操作手册》规定，在“苏采云”系统规定的时间内对投标文件进行解密。</w:t>
      </w:r>
    </w:p>
    <w:p w14:paraId="3ADEA4C3">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18.3 投标人应充分考虑网络环境、网络带宽等因素可能对投标产生的影响，如因投标人自身原因造成的电子投标文件解密不成功的，</w:t>
      </w:r>
      <w:r>
        <w:rPr>
          <w:rFonts w:hint="eastAsia" w:ascii="宋体" w:hAnsi="宋体" w:cs="宋体"/>
          <w:kern w:val="0"/>
          <w:szCs w:val="21"/>
          <w:lang w:val="en-US" w:eastAsia="zh-CN"/>
        </w:rPr>
        <w:t>作</w:t>
      </w:r>
      <w:r>
        <w:rPr>
          <w:rFonts w:hint="eastAsia" w:ascii="宋体" w:hAnsi="宋体" w:cs="宋体"/>
          <w:kern w:val="0"/>
          <w:szCs w:val="21"/>
        </w:rPr>
        <w:t>无效投标处理。</w:t>
      </w:r>
    </w:p>
    <w:p w14:paraId="5A32B0CC">
      <w:pPr>
        <w:widowControl/>
        <w:shd w:val="clear" w:color="auto" w:fill="FFFFFF"/>
        <w:spacing w:line="360" w:lineRule="auto"/>
        <w:ind w:firstLine="420"/>
        <w:rPr>
          <w:rFonts w:hint="eastAsia" w:ascii="宋体" w:hAnsi="宋体" w:cs="宋体"/>
          <w:kern w:val="0"/>
          <w:szCs w:val="21"/>
        </w:rPr>
      </w:pPr>
      <w:r>
        <w:rPr>
          <w:rFonts w:hint="eastAsia" w:ascii="宋体" w:hAnsi="宋体" w:cs="宋体"/>
          <w:b/>
          <w:bCs/>
          <w:kern w:val="0"/>
          <w:szCs w:val="21"/>
        </w:rPr>
        <w:t>19、投标文件的修改和撤回</w:t>
      </w:r>
    </w:p>
    <w:p w14:paraId="55C6EF9C">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19.1投标人在投标截止时间前，可以对所递交的投标文件进行补充、修改或者撤回，并书面通知采购人或者采购代理机构。补充、修改的内容应当按照招标文件要求签署、盖章、密封后，作为投标文件的组成部分。</w:t>
      </w:r>
    </w:p>
    <w:p w14:paraId="59D81D6A">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19.2 投标截止时间之后，投标文件不得撤回；如撤回，投标保证金不予退还</w:t>
      </w:r>
      <w:r>
        <w:rPr>
          <w:rFonts w:hint="eastAsia" w:ascii="宋体" w:hAnsi="宋体" w:cs="宋体"/>
          <w:kern w:val="0"/>
          <w:szCs w:val="21"/>
          <w:lang w:eastAsia="zh-CN"/>
        </w:rPr>
        <w:t>（在本项目无需缴纳投标保证金的情况下，投标保证金相关约定不适用）</w:t>
      </w:r>
      <w:r>
        <w:rPr>
          <w:rFonts w:hint="eastAsia" w:ascii="宋体" w:hAnsi="宋体" w:cs="宋体"/>
          <w:kern w:val="0"/>
          <w:szCs w:val="21"/>
        </w:rPr>
        <w:t>。</w:t>
      </w:r>
    </w:p>
    <w:p w14:paraId="0CF3762E">
      <w:pPr>
        <w:widowControl/>
        <w:shd w:val="clear" w:color="auto" w:fill="FFFFFF"/>
        <w:spacing w:line="360" w:lineRule="auto"/>
        <w:ind w:firstLine="420"/>
        <w:rPr>
          <w:rFonts w:hint="eastAsia" w:ascii="宋体" w:hAnsi="宋体" w:cs="宋体"/>
          <w:kern w:val="0"/>
          <w:szCs w:val="21"/>
        </w:rPr>
      </w:pPr>
      <w:r>
        <w:rPr>
          <w:rFonts w:hint="eastAsia" w:ascii="宋体" w:hAnsi="宋体" w:cs="宋体"/>
          <w:b/>
          <w:bCs/>
          <w:kern w:val="0"/>
          <w:szCs w:val="21"/>
        </w:rPr>
        <w:t>20、诚实信用</w:t>
      </w:r>
    </w:p>
    <w:p w14:paraId="379D3280">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20.1投标人应当遵循公平竞争的原则，不得恶意串通，不得妨碍其他投标人的竞争行为，不得损害采购人或者其他投标人的合法权益。</w:t>
      </w:r>
    </w:p>
    <w:p w14:paraId="4A578B7C">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20.2在评标过程中发现投标人有上述情形的，评标委员会应当认定其投标无效，并书面报告本级财政部门。</w:t>
      </w:r>
    </w:p>
    <w:p w14:paraId="5FCBEBD8">
      <w:pPr>
        <w:widowControl/>
        <w:shd w:val="clear" w:color="auto" w:fill="FFFFFF"/>
        <w:spacing w:line="360" w:lineRule="auto"/>
        <w:ind w:firstLine="420"/>
        <w:rPr>
          <w:rFonts w:hint="eastAsia" w:ascii="宋体" w:hAnsi="宋体" w:cs="宋体"/>
          <w:kern w:val="0"/>
          <w:szCs w:val="21"/>
        </w:rPr>
      </w:pPr>
      <w:r>
        <w:rPr>
          <w:rFonts w:hint="eastAsia" w:ascii="宋体" w:hAnsi="宋体" w:cs="宋体"/>
          <w:b/>
          <w:bCs/>
          <w:kern w:val="0"/>
          <w:szCs w:val="21"/>
        </w:rPr>
        <w:t>五、开标、评标与定标</w:t>
      </w:r>
    </w:p>
    <w:p w14:paraId="12BD9229">
      <w:pPr>
        <w:widowControl/>
        <w:shd w:val="clear" w:color="auto" w:fill="FFFFFF"/>
        <w:spacing w:line="360" w:lineRule="auto"/>
        <w:ind w:firstLine="420"/>
        <w:rPr>
          <w:rFonts w:hint="eastAsia" w:ascii="宋体" w:hAnsi="宋体" w:cs="宋体"/>
          <w:kern w:val="0"/>
          <w:szCs w:val="21"/>
        </w:rPr>
      </w:pPr>
      <w:r>
        <w:rPr>
          <w:rFonts w:hint="eastAsia" w:ascii="宋体" w:hAnsi="宋体" w:cs="宋体"/>
          <w:b/>
          <w:bCs/>
          <w:kern w:val="0"/>
          <w:szCs w:val="21"/>
        </w:rPr>
        <w:t>21、开标</w:t>
      </w:r>
    </w:p>
    <w:p w14:paraId="6C0AC91D">
      <w:pPr>
        <w:spacing w:line="360" w:lineRule="auto"/>
        <w:ind w:firstLine="420" w:firstLineChars="200"/>
        <w:rPr>
          <w:rFonts w:hint="eastAsia" w:ascii="宋体" w:hAnsi="宋体" w:cs="宋体"/>
        </w:rPr>
      </w:pPr>
      <w:r>
        <w:rPr>
          <w:rFonts w:hint="eastAsia" w:ascii="宋体" w:hAnsi="宋体" w:cs="宋体"/>
        </w:rPr>
        <w:t>21.1 代理机构在招标公告中规定的时间和地点组织公开开标。投标人按照《操作手册》规定参加开标活动，并在“苏采云”系统规定的时间内对投标文件进行解密。“苏采云”系统公布各投标人名称和投标价格。</w:t>
      </w:r>
    </w:p>
    <w:p w14:paraId="1FCB1A03">
      <w:pPr>
        <w:spacing w:line="360" w:lineRule="auto"/>
        <w:ind w:firstLine="420" w:firstLineChars="200"/>
        <w:rPr>
          <w:rFonts w:hint="eastAsia" w:ascii="宋体" w:hAnsi="宋体" w:cs="宋体"/>
        </w:rPr>
      </w:pPr>
      <w:r>
        <w:rPr>
          <w:rFonts w:hint="eastAsia" w:ascii="宋体" w:hAnsi="宋体" w:cs="宋体"/>
        </w:rPr>
        <w:t>21.2 投标人在开标过程中涉及到的投标文件解密、开标结果确认等工作，应按照《操作手册》规定执行。</w:t>
      </w:r>
    </w:p>
    <w:p w14:paraId="7A46D9BC">
      <w:pPr>
        <w:spacing w:line="360" w:lineRule="auto"/>
        <w:ind w:firstLine="420" w:firstLineChars="200"/>
        <w:rPr>
          <w:rFonts w:hint="eastAsia" w:ascii="宋体" w:hAnsi="宋体" w:cs="宋体"/>
        </w:rPr>
      </w:pPr>
      <w:r>
        <w:rPr>
          <w:rFonts w:hint="eastAsia" w:ascii="宋体" w:hAnsi="宋体" w:cs="宋体"/>
        </w:rPr>
        <w:t>21.3投标人不足3家的，不得开标。</w:t>
      </w:r>
    </w:p>
    <w:p w14:paraId="488D9B16">
      <w:pPr>
        <w:spacing w:line="360" w:lineRule="auto"/>
        <w:ind w:firstLine="420" w:firstLineChars="200"/>
        <w:rPr>
          <w:rFonts w:hint="eastAsia" w:ascii="宋体" w:hAnsi="宋体" w:cs="宋体"/>
        </w:rPr>
      </w:pPr>
      <w:r>
        <w:rPr>
          <w:rFonts w:hint="eastAsia" w:ascii="宋体" w:hAnsi="宋体" w:cs="宋体"/>
        </w:rPr>
        <w:t>21.4 投标人如果对开标过程和开标结果有疑义，应当根据《操作手册》规定提出，“苏采云”系统中《开标记录表》公布后5分钟内未提出的，视同认可开标结果。</w:t>
      </w:r>
    </w:p>
    <w:p w14:paraId="49BD05E8">
      <w:pPr>
        <w:spacing w:line="360" w:lineRule="auto"/>
        <w:ind w:firstLine="420" w:firstLineChars="200"/>
        <w:rPr>
          <w:rFonts w:hint="eastAsia" w:ascii="宋体" w:hAnsi="宋体" w:cs="宋体"/>
        </w:rPr>
      </w:pPr>
      <w:r>
        <w:rPr>
          <w:rFonts w:hint="eastAsia" w:ascii="宋体" w:hAnsi="宋体" w:cs="宋体"/>
        </w:rPr>
        <w:t>21.5公开招标数额标准以上的采购项目，投标截止后投标人不足3家或者通过资格审查或符合性审查的投标人不足3家的，除采购任务取消情形外，按照以下方式处理：</w:t>
      </w:r>
    </w:p>
    <w:p w14:paraId="12A07233">
      <w:pPr>
        <w:spacing w:line="360" w:lineRule="auto"/>
        <w:ind w:firstLine="420" w:firstLineChars="200"/>
        <w:rPr>
          <w:rFonts w:hint="eastAsia" w:ascii="宋体" w:hAnsi="宋体" w:cs="宋体"/>
        </w:rPr>
      </w:pPr>
      <w:r>
        <w:rPr>
          <w:rFonts w:hint="eastAsia" w:ascii="宋体" w:hAnsi="宋体" w:cs="宋体"/>
        </w:rPr>
        <w:t>（1）招标文件存在不合理条款或者招标程序不符合规定的，采购人、采购代理机构改正后依法重新招标；</w:t>
      </w:r>
    </w:p>
    <w:p w14:paraId="5508183E">
      <w:pPr>
        <w:spacing w:line="360" w:lineRule="auto"/>
        <w:ind w:firstLine="420" w:firstLineChars="200"/>
        <w:rPr>
          <w:rFonts w:hint="eastAsia" w:ascii="宋体" w:hAnsi="宋体" w:cs="宋体"/>
        </w:rPr>
      </w:pPr>
      <w:r>
        <w:rPr>
          <w:rFonts w:hint="eastAsia" w:ascii="宋体" w:hAnsi="宋体" w:cs="宋体"/>
        </w:rPr>
        <w:t>（2）招标文件没有不合理条款、招标程序符合规定，需要采用其他采购方式采购的，采购人依法报财政部门批准，经批准后，可变更为其他采购方式采购。</w:t>
      </w:r>
    </w:p>
    <w:p w14:paraId="36067A1A">
      <w:pPr>
        <w:widowControl/>
        <w:shd w:val="clear" w:color="auto" w:fill="FFFFFF"/>
        <w:spacing w:line="360" w:lineRule="auto"/>
        <w:ind w:firstLine="420"/>
        <w:rPr>
          <w:rFonts w:hint="eastAsia" w:ascii="宋体" w:hAnsi="宋体" w:cs="宋体"/>
          <w:kern w:val="0"/>
          <w:szCs w:val="21"/>
        </w:rPr>
      </w:pPr>
      <w:r>
        <w:rPr>
          <w:rFonts w:hint="eastAsia" w:ascii="宋体" w:hAnsi="宋体" w:cs="宋体"/>
          <w:b/>
          <w:bCs/>
          <w:kern w:val="0"/>
          <w:szCs w:val="21"/>
        </w:rPr>
        <w:t>22、评标</w:t>
      </w:r>
    </w:p>
    <w:p w14:paraId="5C65CB90">
      <w:pPr>
        <w:widowControl/>
        <w:shd w:val="clear" w:color="auto" w:fill="FFFFFF"/>
        <w:spacing w:line="360" w:lineRule="auto"/>
        <w:ind w:firstLine="420"/>
        <w:rPr>
          <w:rFonts w:hint="eastAsia" w:ascii="宋体" w:hAnsi="宋体" w:cs="宋体"/>
          <w:kern w:val="0"/>
          <w:szCs w:val="21"/>
        </w:rPr>
      </w:pPr>
      <w:r>
        <w:rPr>
          <w:rFonts w:hint="eastAsia" w:ascii="宋体" w:hAnsi="宋体" w:cs="宋体"/>
          <w:b/>
          <w:bCs/>
          <w:kern w:val="0"/>
          <w:szCs w:val="21"/>
        </w:rPr>
        <w:t>22.1 评标委员会</w:t>
      </w:r>
    </w:p>
    <w:p w14:paraId="53EB60D9">
      <w:pPr>
        <w:widowControl/>
        <w:shd w:val="clear" w:color="auto" w:fill="FFFFFF"/>
        <w:spacing w:line="360" w:lineRule="auto"/>
        <w:ind w:firstLine="420"/>
        <w:rPr>
          <w:rFonts w:hint="eastAsia" w:ascii="宋体" w:hAnsi="宋体" w:cs="宋体"/>
          <w:bCs/>
          <w:kern w:val="0"/>
          <w:szCs w:val="21"/>
        </w:rPr>
      </w:pPr>
      <w:r>
        <w:rPr>
          <w:rFonts w:hint="eastAsia" w:ascii="宋体" w:hAnsi="宋体" w:cs="宋体"/>
          <w:b/>
          <w:bCs/>
          <w:kern w:val="0"/>
          <w:szCs w:val="21"/>
        </w:rPr>
        <w:t>22.1.1</w:t>
      </w:r>
      <w:r>
        <w:rPr>
          <w:rFonts w:hint="eastAsia" w:ascii="宋体" w:hAnsi="宋体" w:cs="宋体"/>
          <w:bCs/>
          <w:kern w:val="0"/>
          <w:szCs w:val="21"/>
        </w:rPr>
        <w:t>评标委员会负责具体评标事务，并独立履行下列职责：</w:t>
      </w:r>
    </w:p>
    <w:p w14:paraId="255B2CFA">
      <w:pPr>
        <w:widowControl/>
        <w:shd w:val="clear" w:color="auto" w:fill="FFFFFF"/>
        <w:spacing w:line="360" w:lineRule="auto"/>
        <w:ind w:firstLine="420"/>
        <w:rPr>
          <w:rFonts w:hint="eastAsia" w:ascii="宋体" w:hAnsi="宋体" w:cs="宋体"/>
          <w:bCs/>
          <w:kern w:val="0"/>
          <w:szCs w:val="21"/>
        </w:rPr>
      </w:pPr>
      <w:r>
        <w:rPr>
          <w:rFonts w:hint="eastAsia" w:ascii="宋体" w:hAnsi="宋体" w:cs="宋体"/>
          <w:bCs/>
          <w:kern w:val="0"/>
          <w:szCs w:val="21"/>
        </w:rPr>
        <w:t>（一）审查、评价投标文件是否符合招标文件的商务、技术等实质性要求；</w:t>
      </w:r>
    </w:p>
    <w:p w14:paraId="03240A34">
      <w:pPr>
        <w:widowControl/>
        <w:shd w:val="clear" w:color="auto" w:fill="FFFFFF"/>
        <w:spacing w:line="360" w:lineRule="auto"/>
        <w:ind w:firstLine="420"/>
        <w:rPr>
          <w:rFonts w:hint="eastAsia" w:ascii="宋体" w:hAnsi="宋体" w:cs="宋体"/>
          <w:bCs/>
          <w:kern w:val="0"/>
          <w:szCs w:val="21"/>
        </w:rPr>
      </w:pPr>
      <w:r>
        <w:rPr>
          <w:rFonts w:hint="eastAsia" w:ascii="宋体" w:hAnsi="宋体" w:cs="宋体"/>
          <w:bCs/>
          <w:kern w:val="0"/>
          <w:szCs w:val="21"/>
        </w:rPr>
        <w:t>（二）要求投标人对投标文件有关事项作出澄清或者说明；</w:t>
      </w:r>
    </w:p>
    <w:p w14:paraId="765B5C9D">
      <w:pPr>
        <w:widowControl/>
        <w:shd w:val="clear" w:color="auto" w:fill="FFFFFF"/>
        <w:spacing w:line="360" w:lineRule="auto"/>
        <w:ind w:firstLine="420"/>
        <w:rPr>
          <w:rFonts w:hint="eastAsia" w:ascii="宋体" w:hAnsi="宋体" w:cs="宋体"/>
          <w:bCs/>
          <w:kern w:val="0"/>
          <w:szCs w:val="21"/>
        </w:rPr>
      </w:pPr>
      <w:r>
        <w:rPr>
          <w:rFonts w:hint="eastAsia" w:ascii="宋体" w:hAnsi="宋体" w:cs="宋体"/>
          <w:bCs/>
          <w:kern w:val="0"/>
          <w:szCs w:val="21"/>
        </w:rPr>
        <w:t>（三）对投标文件进行比较和评价；</w:t>
      </w:r>
    </w:p>
    <w:p w14:paraId="34B272DA">
      <w:pPr>
        <w:widowControl/>
        <w:shd w:val="clear" w:color="auto" w:fill="FFFFFF"/>
        <w:spacing w:line="360" w:lineRule="auto"/>
        <w:ind w:firstLine="420"/>
        <w:rPr>
          <w:rFonts w:hint="eastAsia" w:ascii="宋体" w:hAnsi="宋体" w:cs="宋体"/>
          <w:bCs/>
          <w:kern w:val="0"/>
          <w:szCs w:val="21"/>
        </w:rPr>
      </w:pPr>
      <w:r>
        <w:rPr>
          <w:rFonts w:hint="eastAsia" w:ascii="宋体" w:hAnsi="宋体" w:cs="宋体"/>
          <w:bCs/>
          <w:kern w:val="0"/>
          <w:szCs w:val="21"/>
        </w:rPr>
        <w:t>（四）确定中标候选人名单，以及根据采购人委托直接确定中标人；</w:t>
      </w:r>
    </w:p>
    <w:p w14:paraId="72F7AD3D">
      <w:pPr>
        <w:widowControl/>
        <w:shd w:val="clear" w:color="auto" w:fill="FFFFFF"/>
        <w:spacing w:line="360" w:lineRule="auto"/>
        <w:ind w:firstLine="420"/>
        <w:rPr>
          <w:rFonts w:hint="eastAsia" w:ascii="宋体" w:hAnsi="宋体" w:cs="宋体"/>
          <w:kern w:val="0"/>
          <w:szCs w:val="21"/>
        </w:rPr>
      </w:pPr>
      <w:r>
        <w:rPr>
          <w:rFonts w:hint="eastAsia" w:ascii="宋体" w:hAnsi="宋体" w:cs="宋体"/>
          <w:bCs/>
          <w:kern w:val="0"/>
          <w:szCs w:val="21"/>
        </w:rPr>
        <w:t>（五）向采购人、采购代理机构或者有关部门报告评标中发现的违法行为。</w:t>
      </w:r>
    </w:p>
    <w:p w14:paraId="053D5F3F">
      <w:pPr>
        <w:widowControl/>
        <w:shd w:val="clear" w:color="auto" w:fill="FFFFFF"/>
        <w:spacing w:line="360" w:lineRule="auto"/>
        <w:ind w:firstLine="420"/>
        <w:rPr>
          <w:rFonts w:hint="eastAsia" w:ascii="宋体" w:hAnsi="宋体" w:cs="宋体"/>
          <w:kern w:val="0"/>
          <w:szCs w:val="21"/>
        </w:rPr>
      </w:pPr>
      <w:r>
        <w:rPr>
          <w:rFonts w:hint="eastAsia" w:ascii="宋体" w:hAnsi="宋体" w:cs="宋体"/>
          <w:b/>
          <w:bCs/>
          <w:kern w:val="0"/>
          <w:szCs w:val="21"/>
        </w:rPr>
        <w:t xml:space="preserve">22.1.2 </w:t>
      </w:r>
      <w:r>
        <w:rPr>
          <w:rFonts w:hint="eastAsia" w:ascii="宋体" w:hAnsi="宋体" w:cs="宋体"/>
          <w:kern w:val="0"/>
          <w:szCs w:val="21"/>
        </w:rPr>
        <w:t>评标委员会由</w:t>
      </w:r>
      <w:r>
        <w:rPr>
          <w:rFonts w:hint="eastAsia" w:ascii="宋体" w:hAnsi="宋体" w:cs="宋体"/>
          <w:bCs/>
          <w:kern w:val="0"/>
          <w:szCs w:val="21"/>
        </w:rPr>
        <w:t>采购人</w:t>
      </w:r>
      <w:r>
        <w:rPr>
          <w:rFonts w:hint="eastAsia" w:ascii="宋体" w:hAnsi="宋体" w:cs="宋体"/>
          <w:kern w:val="0"/>
          <w:szCs w:val="21"/>
        </w:rPr>
        <w:t>代表和有关技术、经济等方面的专家组成，独立开展评审工作。</w:t>
      </w:r>
    </w:p>
    <w:p w14:paraId="398DB759">
      <w:pPr>
        <w:widowControl/>
        <w:shd w:val="clear" w:color="auto" w:fill="FFFFFF"/>
        <w:spacing w:line="360" w:lineRule="auto"/>
        <w:ind w:firstLine="420"/>
        <w:jc w:val="left"/>
        <w:rPr>
          <w:rFonts w:hint="eastAsia" w:ascii="宋体" w:hAnsi="宋体" w:cs="宋体"/>
          <w:kern w:val="0"/>
          <w:szCs w:val="21"/>
        </w:rPr>
      </w:pPr>
      <w:r>
        <w:rPr>
          <w:rFonts w:hint="eastAsia" w:ascii="宋体" w:hAnsi="宋体" w:cs="宋体"/>
          <w:b/>
          <w:bCs/>
          <w:kern w:val="0"/>
          <w:szCs w:val="21"/>
        </w:rPr>
        <w:t>22.2  评标程序</w:t>
      </w:r>
    </w:p>
    <w:p w14:paraId="78F682B9">
      <w:pPr>
        <w:widowControl/>
        <w:shd w:val="clear" w:color="auto" w:fill="FFFFFF"/>
        <w:spacing w:line="360" w:lineRule="auto"/>
        <w:ind w:firstLine="420"/>
        <w:jc w:val="left"/>
        <w:rPr>
          <w:rFonts w:hint="eastAsia" w:ascii="宋体" w:hAnsi="宋体" w:cs="宋体"/>
          <w:b/>
          <w:kern w:val="0"/>
          <w:szCs w:val="21"/>
        </w:rPr>
      </w:pPr>
      <w:r>
        <w:rPr>
          <w:rFonts w:hint="eastAsia" w:ascii="宋体" w:hAnsi="宋体" w:cs="宋体"/>
          <w:b/>
          <w:kern w:val="0"/>
          <w:szCs w:val="21"/>
        </w:rPr>
        <w:t xml:space="preserve">22.2.1 </w:t>
      </w:r>
      <w:r>
        <w:rPr>
          <w:rFonts w:hint="eastAsia" w:ascii="宋体" w:hAnsi="宋体" w:cs="宋体"/>
          <w:b/>
          <w:bCs/>
          <w:kern w:val="0"/>
          <w:szCs w:val="21"/>
        </w:rPr>
        <w:t>投标文件的资格性检查。</w:t>
      </w:r>
      <w:r>
        <w:rPr>
          <w:rFonts w:hint="eastAsia" w:ascii="宋体" w:hAnsi="宋体" w:cs="宋体"/>
          <w:kern w:val="0"/>
          <w:szCs w:val="21"/>
        </w:rPr>
        <w:t>公开招标采购项目开标结束后，</w:t>
      </w:r>
      <w:r>
        <w:rPr>
          <w:rFonts w:hint="eastAsia" w:ascii="宋体" w:hAnsi="宋体" w:cs="宋体"/>
        </w:rPr>
        <w:t>采购人</w:t>
      </w:r>
      <w:r>
        <w:rPr>
          <w:rFonts w:hint="eastAsia" w:ascii="宋体" w:hAnsi="宋体" w:cs="宋体"/>
          <w:kern w:val="0"/>
          <w:szCs w:val="21"/>
        </w:rPr>
        <w:t>或者</w:t>
      </w:r>
      <w:r>
        <w:rPr>
          <w:rFonts w:hint="eastAsia" w:ascii="宋体" w:hAnsi="宋体" w:cs="宋体"/>
        </w:rPr>
        <w:t>采购代理机构</w:t>
      </w:r>
      <w:r>
        <w:rPr>
          <w:rFonts w:hint="eastAsia" w:ascii="宋体" w:hAnsi="宋体" w:cs="宋体"/>
          <w:kern w:val="0"/>
          <w:szCs w:val="21"/>
        </w:rPr>
        <w:t>应当依法对投标人的资格进行审查。合格投标人不足3家的，不得评标。</w:t>
      </w:r>
    </w:p>
    <w:p w14:paraId="74696A7C">
      <w:pPr>
        <w:widowControl/>
        <w:shd w:val="clear" w:color="auto" w:fill="FFFFFF"/>
        <w:spacing w:line="360" w:lineRule="auto"/>
        <w:ind w:firstLine="420"/>
        <w:jc w:val="left"/>
        <w:rPr>
          <w:rFonts w:hint="eastAsia" w:ascii="宋体" w:hAnsi="宋体" w:cs="宋体"/>
          <w:kern w:val="0"/>
          <w:szCs w:val="21"/>
        </w:rPr>
      </w:pPr>
      <w:r>
        <w:rPr>
          <w:rFonts w:hint="eastAsia" w:ascii="宋体" w:hAnsi="宋体" w:cs="宋体"/>
          <w:b/>
          <w:bCs/>
          <w:kern w:val="0"/>
          <w:szCs w:val="21"/>
        </w:rPr>
        <w:t>22.2.2投标文件的符合性审查</w:t>
      </w:r>
      <w:r>
        <w:rPr>
          <w:rFonts w:hint="eastAsia" w:ascii="宋体" w:hAnsi="宋体" w:cs="宋体"/>
          <w:kern w:val="0"/>
          <w:szCs w:val="21"/>
        </w:rPr>
        <w:t>。评标委员会对通过资格性检查的投标人的投标文件进行符合性审查，以确定其是否满足招标文件的实质性要求。投标文件有下列情况之一的，在符合性检查时按照无效投标处理：</w:t>
      </w:r>
    </w:p>
    <w:p w14:paraId="190E6E51">
      <w:pPr>
        <w:widowControl/>
        <w:shd w:val="clear" w:color="auto" w:fill="FFFFFF"/>
        <w:spacing w:line="360" w:lineRule="auto"/>
        <w:ind w:firstLine="420"/>
        <w:rPr>
          <w:rFonts w:hint="eastAsia" w:ascii="宋体" w:hAnsi="宋体" w:cs="宋体"/>
          <w:b/>
          <w:kern w:val="0"/>
          <w:szCs w:val="21"/>
        </w:rPr>
      </w:pPr>
      <w:r>
        <w:rPr>
          <w:rFonts w:hint="eastAsia" w:ascii="宋体" w:hAnsi="宋体" w:cs="宋体"/>
          <w:b/>
          <w:kern w:val="0"/>
          <w:szCs w:val="21"/>
        </w:rPr>
        <w:t>（1）投标人在“苏采云”系统规定的时间内未成功解密电子投标文件的；</w:t>
      </w:r>
    </w:p>
    <w:p w14:paraId="1BBE4E2F">
      <w:pPr>
        <w:widowControl/>
        <w:shd w:val="clear" w:color="auto" w:fill="FFFFFF"/>
        <w:spacing w:line="360" w:lineRule="auto"/>
        <w:ind w:firstLine="420"/>
        <w:rPr>
          <w:rFonts w:hint="eastAsia" w:ascii="宋体" w:hAnsi="宋体" w:cs="宋体"/>
          <w:b/>
          <w:kern w:val="0"/>
          <w:szCs w:val="21"/>
        </w:rPr>
      </w:pPr>
      <w:r>
        <w:rPr>
          <w:rFonts w:hint="eastAsia" w:ascii="宋体" w:hAnsi="宋体" w:cs="宋体"/>
          <w:b/>
          <w:kern w:val="0"/>
          <w:szCs w:val="21"/>
        </w:rPr>
        <w:t>（2）投标人未按照招标文件要求上传电子投标文件的；</w:t>
      </w:r>
    </w:p>
    <w:p w14:paraId="59CAD9CD">
      <w:pPr>
        <w:widowControl/>
        <w:shd w:val="clear" w:color="auto" w:fill="FFFFFF"/>
        <w:spacing w:line="360" w:lineRule="auto"/>
        <w:ind w:firstLine="420"/>
        <w:rPr>
          <w:rFonts w:hint="eastAsia" w:ascii="宋体" w:hAnsi="宋体" w:cs="宋体"/>
          <w:b/>
          <w:kern w:val="0"/>
          <w:szCs w:val="21"/>
        </w:rPr>
      </w:pPr>
      <w:r>
        <w:rPr>
          <w:rFonts w:hint="eastAsia" w:ascii="宋体" w:hAnsi="宋体" w:cs="宋体"/>
          <w:b/>
          <w:kern w:val="0"/>
          <w:szCs w:val="21"/>
        </w:rPr>
        <w:t>（3）同一投标人提交两个（含两个）以上不同的投标报价的；</w:t>
      </w:r>
    </w:p>
    <w:p w14:paraId="3B182AD8">
      <w:pPr>
        <w:widowControl/>
        <w:shd w:val="clear" w:color="auto" w:fill="FFFFFF"/>
        <w:spacing w:line="360" w:lineRule="auto"/>
        <w:ind w:firstLine="420"/>
        <w:rPr>
          <w:rFonts w:hint="eastAsia" w:ascii="宋体" w:hAnsi="宋体" w:cs="宋体"/>
          <w:b/>
          <w:kern w:val="0"/>
          <w:szCs w:val="21"/>
        </w:rPr>
      </w:pPr>
      <w:r>
        <w:rPr>
          <w:rFonts w:hint="eastAsia" w:ascii="宋体" w:hAnsi="宋体" w:cs="宋体"/>
          <w:b/>
          <w:kern w:val="0"/>
          <w:szCs w:val="21"/>
        </w:rPr>
        <w:t>（4）投标文件未按照招标文件要求加盖电子公章的；</w:t>
      </w:r>
    </w:p>
    <w:p w14:paraId="0E08AFC1">
      <w:pPr>
        <w:widowControl/>
        <w:shd w:val="clear" w:color="auto" w:fill="FFFFFF"/>
        <w:spacing w:line="360" w:lineRule="auto"/>
        <w:ind w:firstLine="420"/>
        <w:rPr>
          <w:rFonts w:hint="eastAsia" w:ascii="宋体" w:hAnsi="宋体" w:cs="宋体"/>
          <w:b/>
          <w:kern w:val="0"/>
          <w:szCs w:val="21"/>
        </w:rPr>
      </w:pPr>
      <w:r>
        <w:rPr>
          <w:rFonts w:hint="eastAsia" w:ascii="宋体" w:hAnsi="宋体" w:cs="宋体"/>
          <w:b/>
          <w:kern w:val="0"/>
          <w:szCs w:val="21"/>
        </w:rPr>
        <w:t>（5）报价超过招标文件中规定的预算金额或者最高限价的；</w:t>
      </w:r>
    </w:p>
    <w:p w14:paraId="507D29E1">
      <w:pPr>
        <w:widowControl/>
        <w:shd w:val="clear" w:color="auto" w:fill="FFFFFF"/>
        <w:spacing w:line="360" w:lineRule="auto"/>
        <w:ind w:firstLine="420"/>
        <w:rPr>
          <w:rFonts w:hint="eastAsia" w:ascii="宋体" w:hAnsi="宋体" w:cs="宋体"/>
          <w:b/>
          <w:kern w:val="0"/>
          <w:szCs w:val="21"/>
        </w:rPr>
      </w:pPr>
      <w:r>
        <w:rPr>
          <w:rFonts w:hint="eastAsia" w:ascii="宋体" w:hAnsi="宋体" w:cs="宋体"/>
          <w:b/>
          <w:kern w:val="0"/>
          <w:szCs w:val="21"/>
        </w:rPr>
        <w:t>（6）投标文件含有采购人不能接受的附加条件的；</w:t>
      </w:r>
    </w:p>
    <w:p w14:paraId="48DFAABB">
      <w:pPr>
        <w:widowControl/>
        <w:shd w:val="clear" w:color="auto" w:fill="FFFFFF"/>
        <w:spacing w:line="360" w:lineRule="auto"/>
        <w:ind w:firstLine="420"/>
        <w:rPr>
          <w:rFonts w:hint="eastAsia" w:ascii="宋体" w:hAnsi="宋体" w:cs="宋体"/>
          <w:b/>
          <w:kern w:val="0"/>
          <w:szCs w:val="21"/>
        </w:rPr>
      </w:pPr>
      <w:r>
        <w:rPr>
          <w:rFonts w:hint="eastAsia" w:ascii="宋体" w:hAnsi="宋体" w:cs="宋体"/>
          <w:b/>
          <w:kern w:val="0"/>
          <w:szCs w:val="21"/>
        </w:rPr>
        <w:t>（7）投标文件内容不全或不符合招标文件中规定的其他实质性要求的；</w:t>
      </w:r>
    </w:p>
    <w:p w14:paraId="1D66035B">
      <w:pPr>
        <w:widowControl/>
        <w:shd w:val="clear" w:color="auto" w:fill="FFFFFF"/>
        <w:spacing w:line="360" w:lineRule="auto"/>
        <w:ind w:firstLine="420"/>
        <w:rPr>
          <w:rFonts w:hint="eastAsia" w:ascii="宋体" w:hAnsi="宋体" w:cs="宋体"/>
          <w:b/>
          <w:kern w:val="0"/>
          <w:szCs w:val="21"/>
        </w:rPr>
      </w:pPr>
      <w:r>
        <w:rPr>
          <w:rFonts w:hint="eastAsia" w:ascii="宋体" w:hAnsi="宋体" w:cs="宋体"/>
          <w:b/>
          <w:kern w:val="0"/>
          <w:szCs w:val="21"/>
        </w:rPr>
        <w:t>（8）现行法律、法规、规章和招标文件规定的其他无效情形。</w:t>
      </w:r>
    </w:p>
    <w:p w14:paraId="6708E4C9">
      <w:pPr>
        <w:widowControl/>
        <w:shd w:val="clear" w:color="auto" w:fill="FFFFFF"/>
        <w:spacing w:line="360" w:lineRule="auto"/>
        <w:ind w:firstLine="420"/>
        <w:rPr>
          <w:rFonts w:hint="eastAsia" w:ascii="宋体" w:hAnsi="宋体" w:cs="宋体"/>
          <w:b/>
          <w:bCs/>
          <w:kern w:val="0"/>
          <w:szCs w:val="21"/>
        </w:rPr>
      </w:pPr>
      <w:r>
        <w:rPr>
          <w:rFonts w:hint="eastAsia" w:ascii="宋体" w:hAnsi="宋体" w:cs="宋体"/>
          <w:b/>
          <w:bCs/>
          <w:kern w:val="0"/>
          <w:szCs w:val="21"/>
        </w:rPr>
        <w:t>22.2.2.1 实质性要求是指本招标文件中用带星号（“</w:t>
      </w:r>
      <w:r>
        <w:rPr>
          <w:rFonts w:hint="eastAsia" w:ascii="宋体" w:hAnsi="宋体" w:cs="宋体"/>
          <w:b/>
          <w:bCs/>
        </w:rPr>
        <w:t>*</w:t>
      </w:r>
      <w:r>
        <w:rPr>
          <w:rFonts w:hint="eastAsia" w:ascii="宋体" w:hAnsi="宋体" w:cs="宋体"/>
          <w:b/>
          <w:bCs/>
          <w:kern w:val="0"/>
          <w:szCs w:val="21"/>
        </w:rPr>
        <w:t>”）等其他文字说明的商务和技术要求。</w:t>
      </w:r>
    </w:p>
    <w:p w14:paraId="6CBEFA68">
      <w:pPr>
        <w:widowControl/>
        <w:shd w:val="clear" w:color="auto" w:fill="FFFFFF"/>
        <w:spacing w:line="360" w:lineRule="auto"/>
        <w:ind w:firstLine="420"/>
        <w:rPr>
          <w:rFonts w:hint="eastAsia" w:ascii="宋体" w:hAnsi="宋体" w:cs="宋体"/>
          <w:b/>
          <w:bCs/>
          <w:kern w:val="0"/>
          <w:szCs w:val="21"/>
        </w:rPr>
      </w:pPr>
      <w:r>
        <w:rPr>
          <w:rFonts w:ascii="宋体" w:hAnsi="宋体" w:cs="宋体"/>
          <w:b/>
          <w:bCs/>
          <w:kern w:val="0"/>
          <w:szCs w:val="21"/>
        </w:rPr>
        <w:t>22.2.2.</w:t>
      </w:r>
      <w:r>
        <w:rPr>
          <w:rFonts w:hint="eastAsia" w:ascii="宋体" w:hAnsi="宋体" w:cs="宋体"/>
          <w:b/>
          <w:bCs/>
          <w:kern w:val="0"/>
          <w:szCs w:val="21"/>
        </w:rPr>
        <w:t>2未通过资格审查或符合性审查的投标人，代理机构将通过“苏采云”系统告知其具体原因，评标结束后不再接受有关询问。</w:t>
      </w:r>
    </w:p>
    <w:p w14:paraId="76DDBB92">
      <w:pPr>
        <w:widowControl/>
        <w:shd w:val="clear" w:color="auto" w:fill="FFFFFF"/>
        <w:spacing w:line="360" w:lineRule="auto"/>
        <w:ind w:firstLine="420"/>
        <w:jc w:val="left"/>
        <w:rPr>
          <w:rFonts w:hint="eastAsia" w:ascii="宋体" w:hAnsi="宋体" w:cs="宋体"/>
          <w:b/>
          <w:bCs/>
          <w:kern w:val="0"/>
          <w:szCs w:val="21"/>
        </w:rPr>
      </w:pPr>
      <w:r>
        <w:rPr>
          <w:rFonts w:hint="eastAsia" w:ascii="宋体" w:hAnsi="宋体" w:cs="宋体"/>
          <w:b/>
          <w:bCs/>
          <w:kern w:val="0"/>
          <w:szCs w:val="21"/>
        </w:rPr>
        <w:t>22.2.2.3有下列情形之一的予以废标：</w:t>
      </w:r>
    </w:p>
    <w:p w14:paraId="1C53FD23">
      <w:pPr>
        <w:widowControl/>
        <w:shd w:val="clear" w:color="auto" w:fill="FFFFFF"/>
        <w:spacing w:line="360" w:lineRule="auto"/>
        <w:ind w:firstLine="420"/>
        <w:jc w:val="left"/>
        <w:rPr>
          <w:rFonts w:hint="eastAsia" w:ascii="宋体" w:hAnsi="宋体" w:cs="宋体"/>
          <w:b/>
          <w:bCs/>
          <w:kern w:val="0"/>
          <w:szCs w:val="21"/>
        </w:rPr>
      </w:pPr>
      <w:r>
        <w:rPr>
          <w:rFonts w:hint="eastAsia" w:ascii="宋体" w:hAnsi="宋体" w:cs="宋体"/>
          <w:b/>
          <w:bCs/>
          <w:kern w:val="0"/>
          <w:szCs w:val="21"/>
        </w:rPr>
        <w:t>（1）符合专业条件的投标人或者对招标文件作实质性响应的投标人不足三家的；</w:t>
      </w:r>
    </w:p>
    <w:p w14:paraId="73679F94">
      <w:pPr>
        <w:widowControl/>
        <w:shd w:val="clear" w:color="auto" w:fill="FFFFFF"/>
        <w:spacing w:line="360" w:lineRule="auto"/>
        <w:ind w:firstLine="420"/>
        <w:jc w:val="left"/>
        <w:rPr>
          <w:rFonts w:hint="eastAsia" w:ascii="宋体" w:hAnsi="宋体" w:cs="宋体"/>
          <w:b/>
          <w:bCs/>
          <w:kern w:val="0"/>
          <w:szCs w:val="21"/>
        </w:rPr>
      </w:pPr>
      <w:r>
        <w:rPr>
          <w:rFonts w:hint="eastAsia" w:ascii="宋体" w:hAnsi="宋体" w:cs="宋体"/>
          <w:b/>
          <w:bCs/>
          <w:kern w:val="0"/>
          <w:szCs w:val="21"/>
        </w:rPr>
        <w:t>（2）出现影响采购公正的违法、违规行为的；</w:t>
      </w:r>
    </w:p>
    <w:p w14:paraId="20FCBF74">
      <w:pPr>
        <w:widowControl/>
        <w:shd w:val="clear" w:color="auto" w:fill="FFFFFF"/>
        <w:spacing w:line="360" w:lineRule="auto"/>
        <w:ind w:firstLine="420"/>
        <w:jc w:val="left"/>
        <w:rPr>
          <w:rFonts w:hint="eastAsia" w:ascii="宋体" w:hAnsi="宋体" w:cs="宋体"/>
          <w:b/>
          <w:bCs/>
          <w:kern w:val="0"/>
          <w:szCs w:val="21"/>
        </w:rPr>
      </w:pPr>
      <w:r>
        <w:rPr>
          <w:rFonts w:hint="eastAsia" w:ascii="宋体" w:hAnsi="宋体" w:cs="宋体"/>
          <w:b/>
          <w:bCs/>
          <w:kern w:val="0"/>
          <w:szCs w:val="21"/>
        </w:rPr>
        <w:t>（3）投标人的报价均超过了采购预算，采购人不能支付的；</w:t>
      </w:r>
    </w:p>
    <w:p w14:paraId="4E5282BB">
      <w:pPr>
        <w:widowControl/>
        <w:shd w:val="clear" w:color="auto" w:fill="FFFFFF"/>
        <w:spacing w:line="360" w:lineRule="auto"/>
        <w:ind w:firstLine="420"/>
        <w:jc w:val="left"/>
        <w:rPr>
          <w:rFonts w:hint="eastAsia" w:ascii="宋体" w:hAnsi="宋体" w:cs="宋体"/>
          <w:b/>
          <w:bCs/>
          <w:kern w:val="0"/>
          <w:szCs w:val="21"/>
        </w:rPr>
      </w:pPr>
      <w:r>
        <w:rPr>
          <w:rFonts w:hint="eastAsia" w:ascii="宋体" w:hAnsi="宋体" w:cs="宋体"/>
          <w:b/>
          <w:bCs/>
          <w:kern w:val="0"/>
          <w:szCs w:val="21"/>
        </w:rPr>
        <w:t>（4）因苏采云系统故障造成开标不成功的；</w:t>
      </w:r>
    </w:p>
    <w:p w14:paraId="4C2D1299">
      <w:pPr>
        <w:widowControl/>
        <w:shd w:val="clear" w:color="auto" w:fill="FFFFFF"/>
        <w:spacing w:line="360" w:lineRule="auto"/>
        <w:ind w:firstLine="420"/>
        <w:jc w:val="left"/>
        <w:rPr>
          <w:rFonts w:hint="eastAsia" w:ascii="宋体" w:hAnsi="宋体" w:cs="宋体"/>
          <w:b/>
          <w:bCs/>
          <w:kern w:val="0"/>
          <w:szCs w:val="21"/>
        </w:rPr>
      </w:pPr>
      <w:r>
        <w:rPr>
          <w:rFonts w:hint="eastAsia" w:ascii="宋体" w:hAnsi="宋体" w:cs="宋体"/>
          <w:b/>
          <w:bCs/>
          <w:kern w:val="0"/>
          <w:szCs w:val="21"/>
        </w:rPr>
        <w:t>（5）因重大变故，采购任务取消的。</w:t>
      </w:r>
    </w:p>
    <w:p w14:paraId="730A95D6">
      <w:pPr>
        <w:widowControl/>
        <w:shd w:val="clear" w:color="auto" w:fill="FFFFFF"/>
        <w:spacing w:line="360" w:lineRule="auto"/>
        <w:ind w:firstLine="420"/>
        <w:jc w:val="left"/>
        <w:rPr>
          <w:rFonts w:hint="eastAsia" w:ascii="宋体" w:hAnsi="宋体" w:cs="宋体"/>
          <w:b/>
          <w:bCs/>
          <w:kern w:val="0"/>
          <w:szCs w:val="21"/>
        </w:rPr>
      </w:pPr>
      <w:r>
        <w:rPr>
          <w:rFonts w:hint="eastAsia" w:ascii="宋体" w:hAnsi="宋体" w:cs="宋体"/>
          <w:b/>
          <w:bCs/>
          <w:kern w:val="0"/>
          <w:szCs w:val="21"/>
        </w:rPr>
        <w:t>（6）投标人以明显低于其他通过符合性审查投标人的报价，有可能影响产品质量或者不能诚信履约的，且不能证明其报价合理性的。</w:t>
      </w:r>
    </w:p>
    <w:p w14:paraId="1004B1E6">
      <w:pPr>
        <w:widowControl/>
        <w:shd w:val="clear" w:color="auto" w:fill="FFFFFF"/>
        <w:spacing w:line="360" w:lineRule="auto"/>
        <w:ind w:firstLine="420"/>
        <w:jc w:val="left"/>
        <w:rPr>
          <w:rFonts w:hint="eastAsia" w:ascii="宋体" w:hAnsi="宋体" w:cs="宋体"/>
          <w:kern w:val="0"/>
          <w:szCs w:val="21"/>
        </w:rPr>
      </w:pPr>
      <w:r>
        <w:rPr>
          <w:rFonts w:hint="eastAsia" w:ascii="宋体" w:hAnsi="宋体" w:cs="宋体"/>
          <w:kern w:val="0"/>
          <w:szCs w:val="21"/>
        </w:rPr>
        <w:t>22.2.3</w:t>
      </w:r>
      <w:r>
        <w:rPr>
          <w:rFonts w:hint="eastAsia" w:ascii="宋体" w:hAnsi="宋体" w:cs="宋体"/>
          <w:b/>
          <w:bCs/>
          <w:kern w:val="0"/>
          <w:szCs w:val="21"/>
        </w:rPr>
        <w:t>澄清有关问题</w:t>
      </w:r>
      <w:r>
        <w:rPr>
          <w:rFonts w:hint="eastAsia" w:ascii="宋体" w:hAnsi="宋体" w:cs="宋体"/>
          <w:kern w:val="0"/>
          <w:szCs w:val="21"/>
        </w:rPr>
        <w:t>。</w:t>
      </w:r>
    </w:p>
    <w:p w14:paraId="4C4ED371">
      <w:pPr>
        <w:widowControl/>
        <w:shd w:val="clear" w:color="auto" w:fill="FFFFFF"/>
        <w:spacing w:line="360" w:lineRule="auto"/>
        <w:ind w:firstLine="420"/>
        <w:jc w:val="left"/>
        <w:rPr>
          <w:rFonts w:hint="eastAsia" w:ascii="宋体" w:hAnsi="宋体" w:cs="宋体"/>
          <w:kern w:val="0"/>
          <w:szCs w:val="21"/>
        </w:rPr>
      </w:pPr>
      <w:r>
        <w:rPr>
          <w:rFonts w:hint="eastAsia" w:ascii="宋体" w:hAnsi="宋体" w:cs="宋体"/>
          <w:kern w:val="0"/>
          <w:szCs w:val="21"/>
        </w:rPr>
        <w:t>22.2.3.1 评标期间，评委会对投标文件中含义不明确、同类问题表述不一致或者有明显文字和计算错误的内容，有权要求投标人作出必要的澄清、说明或者补正。</w:t>
      </w:r>
    </w:p>
    <w:p w14:paraId="3629BCF1">
      <w:pPr>
        <w:widowControl/>
        <w:shd w:val="clear" w:color="auto" w:fill="FFFFFF"/>
        <w:spacing w:line="360" w:lineRule="auto"/>
        <w:ind w:firstLine="420"/>
        <w:jc w:val="left"/>
        <w:rPr>
          <w:rFonts w:hint="eastAsia" w:ascii="宋体" w:hAnsi="宋体" w:cs="宋体"/>
          <w:kern w:val="0"/>
          <w:szCs w:val="21"/>
        </w:rPr>
      </w:pPr>
      <w:r>
        <w:rPr>
          <w:rFonts w:hint="eastAsia" w:ascii="宋体" w:hAnsi="宋体" w:cs="宋体"/>
          <w:kern w:val="0"/>
          <w:szCs w:val="21"/>
        </w:rPr>
        <w:t>投标人的澄清、说明或者补正不得超出投标文件的范围或者改变投标文件的实质性内容。</w:t>
      </w:r>
    </w:p>
    <w:p w14:paraId="473289FB">
      <w:pPr>
        <w:widowControl/>
        <w:shd w:val="clear" w:color="auto" w:fill="FFFFFF"/>
        <w:spacing w:line="360" w:lineRule="auto"/>
        <w:ind w:firstLine="420"/>
        <w:jc w:val="left"/>
        <w:rPr>
          <w:rFonts w:hint="eastAsia" w:ascii="宋体" w:hAnsi="宋体" w:cs="宋体"/>
          <w:kern w:val="0"/>
          <w:szCs w:val="21"/>
        </w:rPr>
      </w:pPr>
      <w:r>
        <w:rPr>
          <w:rFonts w:hint="eastAsia" w:ascii="宋体" w:hAnsi="宋体" w:cs="宋体"/>
          <w:kern w:val="0"/>
          <w:szCs w:val="21"/>
        </w:rPr>
        <w:t>评委会并非对每个投标人都做澄清要求。</w:t>
      </w:r>
    </w:p>
    <w:p w14:paraId="5E30FC65">
      <w:pPr>
        <w:widowControl/>
        <w:shd w:val="clear" w:color="auto" w:fill="FFFFFF"/>
        <w:spacing w:line="360" w:lineRule="auto"/>
        <w:ind w:firstLine="420"/>
        <w:jc w:val="left"/>
        <w:rPr>
          <w:rFonts w:hint="eastAsia" w:ascii="宋体" w:hAnsi="宋体" w:cs="宋体"/>
          <w:kern w:val="0"/>
          <w:szCs w:val="21"/>
        </w:rPr>
      </w:pPr>
      <w:r>
        <w:rPr>
          <w:rFonts w:hint="eastAsia" w:ascii="宋体" w:hAnsi="宋体" w:cs="宋体"/>
          <w:kern w:val="0"/>
          <w:szCs w:val="21"/>
        </w:rPr>
        <w:t>22.2.3.2 需要供应商进行澄清、说明和补正的，评委会将通过苏采云系统向投标人发出《澄清要求函》，接到《澄清要求函》的投标人应当按照要求在苏采云系统中提交《澄清响应函》并加盖电子公章。澄清、说明和补正的内容作为投标文件的补充部分，具体操作方式见《操作手册》。</w:t>
      </w:r>
    </w:p>
    <w:p w14:paraId="4DBF7BA1">
      <w:pPr>
        <w:widowControl/>
        <w:shd w:val="clear" w:color="auto" w:fill="FFFFFF"/>
        <w:spacing w:line="360" w:lineRule="auto"/>
        <w:ind w:firstLine="420"/>
        <w:jc w:val="left"/>
        <w:rPr>
          <w:rFonts w:hint="eastAsia" w:ascii="宋体" w:hAnsi="宋体" w:cs="宋体"/>
          <w:kern w:val="0"/>
          <w:szCs w:val="21"/>
        </w:rPr>
      </w:pPr>
      <w:r>
        <w:rPr>
          <w:rFonts w:hint="eastAsia" w:ascii="宋体" w:hAnsi="宋体" w:cs="宋体"/>
          <w:kern w:val="0"/>
          <w:szCs w:val="21"/>
        </w:rPr>
        <w:t>22.2.3.3 接到评委会澄清、说明和补正要求的，投标人如未按规定作出澄清、说明和补正，其风险由投标人自行承担。</w:t>
      </w:r>
    </w:p>
    <w:p w14:paraId="495D2303">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22.2.3.4投标文件报价出现前后不一致的，除招标文件另有规定外，按照下列规定修正：</w:t>
      </w:r>
    </w:p>
    <w:p w14:paraId="7B2AE98E">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（1）投标文件中开标一览表（报价表）内容与投标文件中相应内容不一致的，以开标一览表（报价表）为准；</w:t>
      </w:r>
    </w:p>
    <w:p w14:paraId="283ACF40">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（2）大写金额和小写金额不一致的，以大写金额为准；</w:t>
      </w:r>
    </w:p>
    <w:p w14:paraId="5EB17C9C">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（3）单价金额小数点或者百分比有明显错位的，以开标一览表的总价为准，并修改单价；</w:t>
      </w:r>
    </w:p>
    <w:p w14:paraId="49B22A2F">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（4）总价金额与按单价汇总金额不一致的，以单价金额计算结果为准。</w:t>
      </w:r>
    </w:p>
    <w:p w14:paraId="06F9C01E">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评委会将按上述修正错误的方法调整投标文件中的投标报价，同时出现两种以上不一致的，按照前款规定的顺序修正，并由评标委员会通过“苏采云”系统告知投标人，调整后的价格对投标人具有约束力。如果投标人不接受修正后的价格，则其投标将被拒绝。</w:t>
      </w:r>
    </w:p>
    <w:p w14:paraId="5902B875">
      <w:pPr>
        <w:widowControl/>
        <w:shd w:val="clear" w:color="auto" w:fill="FFFFFF"/>
        <w:spacing w:line="360" w:lineRule="auto"/>
        <w:ind w:firstLine="420"/>
        <w:rPr>
          <w:rFonts w:hint="eastAsia" w:ascii="宋体" w:hAnsi="宋体" w:cs="宋体"/>
          <w:b/>
          <w:kern w:val="0"/>
          <w:szCs w:val="21"/>
        </w:rPr>
      </w:pPr>
      <w:r>
        <w:rPr>
          <w:rFonts w:ascii="宋体" w:hAnsi="宋体" w:cs="宋体"/>
          <w:kern w:val="0"/>
          <w:szCs w:val="21"/>
        </w:rPr>
        <w:t>2.2.3.</w:t>
      </w:r>
      <w:r>
        <w:rPr>
          <w:rFonts w:hint="eastAsia" w:ascii="宋体" w:hAnsi="宋体" w:cs="宋体"/>
          <w:kern w:val="0"/>
          <w:szCs w:val="21"/>
        </w:rPr>
        <w:t>5投标人在开、评标全过程中应保持通讯畅通，及时登录苏采云系统查阅、答复相关信息，并安排专人与代理机构及评委会联系。</w:t>
      </w:r>
    </w:p>
    <w:p w14:paraId="320016E1">
      <w:pPr>
        <w:widowControl/>
        <w:shd w:val="clear" w:color="auto" w:fill="FFFFFF"/>
        <w:spacing w:line="360" w:lineRule="auto"/>
        <w:ind w:firstLine="420"/>
        <w:jc w:val="left"/>
        <w:rPr>
          <w:rFonts w:hint="eastAsia" w:ascii="宋体" w:hAnsi="宋体" w:cs="宋体"/>
          <w:kern w:val="0"/>
          <w:szCs w:val="21"/>
        </w:rPr>
      </w:pPr>
      <w:r>
        <w:rPr>
          <w:rFonts w:hint="eastAsia" w:ascii="宋体" w:hAnsi="宋体" w:cs="宋体"/>
          <w:kern w:val="0"/>
          <w:szCs w:val="21"/>
        </w:rPr>
        <w:t>22.2.3.6</w:t>
      </w:r>
      <w:r>
        <w:rPr>
          <w:rFonts w:hint="eastAsia" w:ascii="宋体" w:hAnsi="宋体" w:cs="宋体"/>
        </w:rPr>
        <w:t>评标委员会认为投标人的报价明显低于其他通过符合性审查投标人的报价，有可能影响产品质量或者不能诚信履约的，将要求其在评标现场合理的时间内提供书面说明，必要时提交相关证明材料；</w:t>
      </w:r>
      <w:r>
        <w:rPr>
          <w:rFonts w:hint="eastAsia" w:ascii="宋体" w:hAnsi="宋体" w:cs="宋体"/>
          <w:b/>
        </w:rPr>
        <w:t>投标人不能证明其报价合理性的，评标委员会将其作为无效投标处理。</w:t>
      </w:r>
    </w:p>
    <w:p w14:paraId="4C9EB8CE">
      <w:pPr>
        <w:widowControl/>
        <w:shd w:val="clear" w:color="auto" w:fill="FFFFFF"/>
        <w:spacing w:line="360" w:lineRule="auto"/>
        <w:ind w:firstLine="420"/>
        <w:jc w:val="left"/>
        <w:rPr>
          <w:rFonts w:hint="eastAsia" w:ascii="宋体" w:hAnsi="宋体" w:cs="宋体"/>
          <w:kern w:val="0"/>
          <w:szCs w:val="21"/>
        </w:rPr>
      </w:pPr>
      <w:r>
        <w:rPr>
          <w:rFonts w:hint="eastAsia" w:ascii="宋体" w:hAnsi="宋体" w:cs="宋体"/>
          <w:kern w:val="0"/>
          <w:szCs w:val="21"/>
        </w:rPr>
        <w:t>22.2.4</w:t>
      </w:r>
      <w:r>
        <w:rPr>
          <w:rFonts w:hint="eastAsia" w:ascii="宋体" w:hAnsi="宋体" w:cs="宋体"/>
          <w:bCs/>
          <w:kern w:val="0"/>
          <w:szCs w:val="21"/>
        </w:rPr>
        <w:t>比较与评价。</w:t>
      </w:r>
      <w:r>
        <w:rPr>
          <w:rFonts w:hint="eastAsia" w:ascii="宋体" w:hAnsi="宋体" w:cs="宋体"/>
          <w:kern w:val="0"/>
          <w:szCs w:val="21"/>
        </w:rPr>
        <w:t>评标委员会应当按照招标文件中规定的评标方法和标准，对符合性审查合格的投标文件进行商务和技术评估，综合比较与评价。</w:t>
      </w:r>
    </w:p>
    <w:p w14:paraId="013F0F2E">
      <w:pPr>
        <w:widowControl/>
        <w:shd w:val="clear" w:color="auto" w:fill="FFFFFF"/>
        <w:spacing w:line="360" w:lineRule="auto"/>
        <w:ind w:firstLine="420"/>
        <w:jc w:val="left"/>
        <w:rPr>
          <w:rFonts w:hint="eastAsia" w:ascii="宋体" w:hAnsi="宋体" w:cs="宋体"/>
          <w:kern w:val="0"/>
          <w:szCs w:val="21"/>
        </w:rPr>
      </w:pPr>
      <w:r>
        <w:rPr>
          <w:rFonts w:hint="eastAsia" w:ascii="宋体" w:hAnsi="宋体" w:cs="宋体"/>
          <w:b/>
          <w:bCs/>
          <w:kern w:val="0"/>
          <w:szCs w:val="21"/>
        </w:rPr>
        <w:t>22.3 评标方法和标准</w:t>
      </w:r>
    </w:p>
    <w:p w14:paraId="4054200C">
      <w:pPr>
        <w:widowControl/>
        <w:shd w:val="clear" w:color="auto" w:fill="FFFFFF"/>
        <w:spacing w:line="360" w:lineRule="auto"/>
        <w:ind w:firstLine="420"/>
        <w:jc w:val="left"/>
        <w:rPr>
          <w:rFonts w:hint="eastAsia" w:ascii="宋体" w:hAnsi="宋体" w:cs="宋体"/>
          <w:kern w:val="0"/>
          <w:szCs w:val="21"/>
        </w:rPr>
      </w:pPr>
      <w:r>
        <w:rPr>
          <w:rFonts w:hint="eastAsia" w:ascii="宋体" w:hAnsi="宋体" w:cs="宋体"/>
          <w:kern w:val="0"/>
          <w:szCs w:val="21"/>
        </w:rPr>
        <w:t>22.3.1评标方法分为最低评标价法和综合评分法。本次招标的评标方法和标准，详见本招标文件第三章。</w:t>
      </w:r>
    </w:p>
    <w:p w14:paraId="7D4B393D">
      <w:pPr>
        <w:widowControl/>
        <w:shd w:val="clear" w:color="auto" w:fill="FFFFFF"/>
        <w:spacing w:line="360" w:lineRule="auto"/>
        <w:ind w:firstLine="420"/>
        <w:jc w:val="left"/>
        <w:rPr>
          <w:rFonts w:hint="eastAsia" w:ascii="宋体" w:hAnsi="宋体" w:cs="宋体"/>
          <w:kern w:val="0"/>
          <w:szCs w:val="21"/>
        </w:rPr>
      </w:pPr>
      <w:r>
        <w:rPr>
          <w:rFonts w:hint="eastAsia" w:ascii="宋体" w:hAnsi="宋体" w:cs="宋体"/>
          <w:kern w:val="0"/>
          <w:szCs w:val="21"/>
        </w:rPr>
        <w:t>22.3.2最低评标价法，是指投标文件满足招标文件全部实质性要求，且投标报价最低的投标人为中标候选人的评标方法。</w:t>
      </w:r>
    </w:p>
    <w:p w14:paraId="06B062F1">
      <w:pPr>
        <w:widowControl/>
        <w:shd w:val="clear" w:color="auto" w:fill="FFFFFF"/>
        <w:spacing w:line="360" w:lineRule="auto"/>
        <w:ind w:firstLine="420"/>
        <w:jc w:val="left"/>
        <w:rPr>
          <w:rFonts w:hint="eastAsia" w:ascii="宋体" w:hAnsi="宋体" w:cs="宋体"/>
          <w:kern w:val="0"/>
          <w:szCs w:val="21"/>
        </w:rPr>
      </w:pPr>
      <w:r>
        <w:rPr>
          <w:rFonts w:hint="eastAsia" w:ascii="宋体" w:hAnsi="宋体" w:cs="宋体"/>
          <w:kern w:val="0"/>
          <w:szCs w:val="21"/>
        </w:rPr>
        <w:t>采用最低评标价法评标时，除了算术修正和落实政府采购政策需进行的价格扣除外，不对投标人的投标价格进行任何调整。</w:t>
      </w:r>
    </w:p>
    <w:p w14:paraId="61559790">
      <w:pPr>
        <w:widowControl/>
        <w:shd w:val="clear" w:color="auto" w:fill="FFFFFF"/>
        <w:spacing w:line="360" w:lineRule="auto"/>
        <w:ind w:firstLine="420"/>
        <w:jc w:val="left"/>
        <w:rPr>
          <w:rFonts w:hint="eastAsia" w:ascii="宋体" w:hAnsi="宋体" w:cs="宋体"/>
          <w:kern w:val="0"/>
          <w:szCs w:val="21"/>
        </w:rPr>
      </w:pPr>
      <w:r>
        <w:rPr>
          <w:rFonts w:hint="eastAsia" w:ascii="宋体" w:hAnsi="宋体" w:cs="宋体"/>
          <w:kern w:val="0"/>
          <w:szCs w:val="21"/>
        </w:rPr>
        <w:t>22.3.3综合评分法，是指投标文件满足招标文件全部实质性要求，且按照评审因素的量化指标评审得分最高的投标人为中标候选人的评标方法。</w:t>
      </w:r>
    </w:p>
    <w:p w14:paraId="65137234">
      <w:pPr>
        <w:widowControl/>
        <w:shd w:val="clear" w:color="auto" w:fill="FFFFFF"/>
        <w:spacing w:line="360" w:lineRule="auto"/>
        <w:ind w:firstLine="420"/>
        <w:jc w:val="left"/>
        <w:rPr>
          <w:rFonts w:hint="eastAsia" w:ascii="宋体" w:hAnsi="宋体" w:cs="宋体"/>
          <w:kern w:val="0"/>
          <w:szCs w:val="21"/>
        </w:rPr>
      </w:pPr>
      <w:r>
        <w:rPr>
          <w:rFonts w:hint="eastAsia" w:ascii="宋体" w:hAnsi="宋体" w:cs="宋体"/>
          <w:kern w:val="0"/>
          <w:szCs w:val="21"/>
        </w:rPr>
        <w:t>评审因素，包括价格、技术、商务等。</w:t>
      </w:r>
    </w:p>
    <w:p w14:paraId="46C0C7F8">
      <w:pPr>
        <w:widowControl/>
        <w:shd w:val="clear" w:color="auto" w:fill="FFFFFF"/>
        <w:spacing w:line="360" w:lineRule="auto"/>
        <w:ind w:firstLine="420"/>
        <w:jc w:val="left"/>
        <w:rPr>
          <w:rFonts w:hint="eastAsia" w:ascii="宋体" w:hAnsi="宋体" w:cs="宋体"/>
          <w:kern w:val="0"/>
          <w:szCs w:val="21"/>
        </w:rPr>
      </w:pPr>
      <w:r>
        <w:rPr>
          <w:rFonts w:hint="eastAsia" w:ascii="宋体" w:hAnsi="宋体" w:cs="宋体"/>
          <w:kern w:val="0"/>
          <w:szCs w:val="21"/>
        </w:rPr>
        <w:t>评标时，评标委员会各成员应当独立对每个投标人的投标文件进行评价，并汇总每个投标人的得分。</w:t>
      </w:r>
    </w:p>
    <w:p w14:paraId="768902F4">
      <w:pPr>
        <w:widowControl/>
        <w:shd w:val="clear" w:color="auto" w:fill="FFFFFF"/>
        <w:spacing w:line="360" w:lineRule="auto"/>
        <w:ind w:firstLine="420"/>
        <w:jc w:val="left"/>
        <w:rPr>
          <w:rFonts w:hint="eastAsia" w:ascii="宋体" w:hAnsi="宋体" w:cs="宋体"/>
          <w:kern w:val="0"/>
          <w:szCs w:val="21"/>
        </w:rPr>
      </w:pPr>
      <w:r>
        <w:rPr>
          <w:rFonts w:hint="eastAsia" w:ascii="宋体" w:hAnsi="宋体" w:cs="宋体"/>
          <w:kern w:val="0"/>
          <w:szCs w:val="21"/>
        </w:rPr>
        <w:t>价格分采用低价优先法计算，即满足招标文件要求且投标价格最低的投标报价为评标基准价，其价格分为满分。</w:t>
      </w:r>
    </w:p>
    <w:p w14:paraId="509CCC8F">
      <w:pPr>
        <w:widowControl/>
        <w:shd w:val="clear" w:color="auto" w:fill="FFFFFF"/>
        <w:spacing w:line="360" w:lineRule="auto"/>
        <w:ind w:firstLine="420"/>
        <w:jc w:val="left"/>
        <w:rPr>
          <w:rFonts w:hint="eastAsia" w:ascii="宋体" w:hAnsi="宋体" w:cs="宋体"/>
          <w:kern w:val="0"/>
          <w:szCs w:val="21"/>
        </w:rPr>
      </w:pPr>
      <w:r>
        <w:rPr>
          <w:rFonts w:hint="eastAsia" w:ascii="宋体" w:hAnsi="宋体" w:cs="宋体"/>
          <w:kern w:val="0"/>
          <w:szCs w:val="21"/>
        </w:rPr>
        <w:t>评标总得分＝F1×A1＋F2×A2＋……＋Fn×An</w:t>
      </w:r>
    </w:p>
    <w:p w14:paraId="4080B5F4">
      <w:pPr>
        <w:widowControl/>
        <w:shd w:val="clear" w:color="auto" w:fill="FFFFFF"/>
        <w:spacing w:line="360" w:lineRule="auto"/>
        <w:ind w:firstLine="420"/>
        <w:jc w:val="left"/>
        <w:rPr>
          <w:rFonts w:hint="eastAsia" w:ascii="宋体" w:hAnsi="宋体" w:cs="宋体"/>
          <w:kern w:val="0"/>
          <w:szCs w:val="21"/>
        </w:rPr>
      </w:pPr>
      <w:r>
        <w:rPr>
          <w:rFonts w:hint="eastAsia" w:ascii="宋体" w:hAnsi="宋体" w:cs="宋体"/>
          <w:kern w:val="0"/>
          <w:szCs w:val="21"/>
        </w:rPr>
        <w:t>F1、F2……Fn分别为各项评审因素的得分；</w:t>
      </w:r>
    </w:p>
    <w:p w14:paraId="22D6CAF5">
      <w:pPr>
        <w:widowControl/>
        <w:shd w:val="clear" w:color="auto" w:fill="FFFFFF"/>
        <w:spacing w:line="360" w:lineRule="auto"/>
        <w:ind w:firstLine="420"/>
        <w:jc w:val="left"/>
        <w:rPr>
          <w:rFonts w:hint="eastAsia" w:ascii="宋体" w:hAnsi="宋体" w:cs="宋体"/>
          <w:kern w:val="0"/>
          <w:szCs w:val="21"/>
        </w:rPr>
      </w:pPr>
      <w:r>
        <w:rPr>
          <w:rFonts w:hint="eastAsia" w:ascii="宋体" w:hAnsi="宋体" w:cs="宋体"/>
          <w:kern w:val="0"/>
          <w:szCs w:val="21"/>
        </w:rPr>
        <w:t>A1、A2、……An 分别为各项评审因素所占的权重（A1＋A2＋……＋An＝1）。</w:t>
      </w:r>
    </w:p>
    <w:p w14:paraId="0F8EBC38">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因落实政府采购政策进行价格调整的，以调整后的价格计算评标基准价和投标报价。</w:t>
      </w:r>
    </w:p>
    <w:p w14:paraId="7A5538CB">
      <w:pPr>
        <w:widowControl/>
        <w:shd w:val="clear" w:color="auto" w:fill="FFFFFF"/>
        <w:spacing w:line="360" w:lineRule="auto"/>
        <w:ind w:firstLine="422" w:firstLineChars="200"/>
        <w:jc w:val="left"/>
        <w:rPr>
          <w:rFonts w:hint="eastAsia" w:ascii="宋体" w:hAnsi="宋体" w:cs="宋体"/>
          <w:b/>
          <w:bCs/>
          <w:kern w:val="0"/>
          <w:szCs w:val="21"/>
          <w:highlight w:val="none"/>
        </w:rPr>
      </w:pPr>
      <w:r>
        <w:rPr>
          <w:rFonts w:hint="eastAsia" w:ascii="宋体" w:hAnsi="宋体" w:cs="宋体"/>
          <w:b/>
          <w:bCs/>
          <w:kern w:val="0"/>
          <w:szCs w:val="21"/>
          <w:highlight w:val="none"/>
        </w:rPr>
        <w:t>22.4参照政府采购货物和服务招标投标管理办法（财政部令第87号）、《关于推动解决政府采购异常低价问题的通知》（财库〔2026〕2号）：</w:t>
      </w:r>
    </w:p>
    <w:p w14:paraId="33D745A7">
      <w:pPr>
        <w:widowControl/>
        <w:shd w:val="clear" w:color="auto" w:fill="FFFFFF"/>
        <w:spacing w:line="360" w:lineRule="auto"/>
        <w:ind w:firstLine="422" w:firstLineChars="200"/>
        <w:jc w:val="left"/>
        <w:rPr>
          <w:rFonts w:hint="eastAsia" w:ascii="宋体" w:hAnsi="宋体" w:cs="宋体"/>
          <w:b/>
          <w:bCs/>
          <w:kern w:val="0"/>
          <w:szCs w:val="21"/>
          <w:highlight w:val="none"/>
        </w:rPr>
      </w:pPr>
      <w:r>
        <w:rPr>
          <w:rFonts w:hint="eastAsia" w:ascii="宋体" w:hAnsi="宋体" w:cs="宋体"/>
          <w:b/>
          <w:bCs/>
          <w:kern w:val="0"/>
          <w:szCs w:val="21"/>
          <w:highlight w:val="none"/>
        </w:rPr>
        <w:t xml:space="preserve">1、评标过程中出现下列情形之一的，评标委员会应当启动异常低价投标审查程序： </w:t>
      </w:r>
    </w:p>
    <w:p w14:paraId="56B35B1B">
      <w:pPr>
        <w:widowControl/>
        <w:shd w:val="clear" w:color="auto" w:fill="FFFFFF"/>
        <w:spacing w:line="360" w:lineRule="auto"/>
        <w:ind w:firstLine="422" w:firstLineChars="200"/>
        <w:jc w:val="left"/>
        <w:rPr>
          <w:rFonts w:hint="eastAsia" w:ascii="宋体" w:hAnsi="宋体" w:cs="宋体"/>
          <w:b/>
          <w:bCs/>
          <w:kern w:val="0"/>
          <w:szCs w:val="21"/>
          <w:highlight w:val="none"/>
        </w:rPr>
      </w:pPr>
      <w:r>
        <w:rPr>
          <w:rFonts w:hint="eastAsia" w:ascii="宋体" w:hAnsi="宋体" w:cs="宋体"/>
          <w:b/>
          <w:bCs/>
          <w:kern w:val="0"/>
          <w:szCs w:val="21"/>
          <w:highlight w:val="none"/>
        </w:rPr>
        <w:t>（1）投标报价低于全部通过符合性审查投标人投标报价平均值50%的，即投标报价&lt;全部通过符合性审查投标人投标报价平均值×50%；</w:t>
      </w:r>
    </w:p>
    <w:p w14:paraId="2C5026BD">
      <w:pPr>
        <w:widowControl/>
        <w:shd w:val="clear" w:color="auto" w:fill="FFFFFF"/>
        <w:spacing w:line="360" w:lineRule="auto"/>
        <w:ind w:firstLine="422" w:firstLineChars="200"/>
        <w:jc w:val="left"/>
        <w:rPr>
          <w:rFonts w:hint="eastAsia" w:ascii="宋体" w:hAnsi="宋体" w:cs="宋体"/>
          <w:b/>
          <w:bCs/>
          <w:kern w:val="0"/>
          <w:szCs w:val="21"/>
          <w:highlight w:val="none"/>
        </w:rPr>
      </w:pPr>
      <w:r>
        <w:rPr>
          <w:rFonts w:hint="eastAsia" w:ascii="宋体" w:hAnsi="宋体" w:cs="宋体"/>
          <w:b/>
          <w:bCs/>
          <w:kern w:val="0"/>
          <w:szCs w:val="21"/>
          <w:highlight w:val="none"/>
        </w:rPr>
        <w:t>（2）投标报价低于通过符合性审查的次低报价投标人投标报价50%的，即投标报价&lt;通过符合性审查的次低报价投标人投标报价×50%；</w:t>
      </w:r>
    </w:p>
    <w:p w14:paraId="125393CF">
      <w:pPr>
        <w:widowControl/>
        <w:shd w:val="clear" w:color="auto" w:fill="FFFFFF"/>
        <w:spacing w:line="360" w:lineRule="auto"/>
        <w:ind w:firstLine="422" w:firstLineChars="200"/>
        <w:jc w:val="left"/>
        <w:rPr>
          <w:rFonts w:hint="eastAsia" w:ascii="宋体" w:hAnsi="宋体" w:cs="宋体"/>
          <w:b/>
          <w:bCs/>
          <w:kern w:val="0"/>
          <w:szCs w:val="21"/>
          <w:highlight w:val="none"/>
        </w:rPr>
      </w:pPr>
      <w:r>
        <w:rPr>
          <w:rFonts w:hint="eastAsia" w:ascii="宋体" w:hAnsi="宋体" w:cs="宋体"/>
          <w:b/>
          <w:bCs/>
          <w:kern w:val="0"/>
          <w:szCs w:val="21"/>
          <w:highlight w:val="none"/>
        </w:rPr>
        <w:t>（3）投标报价低于本项目最高限价45%的，即投标报价&lt;本项目最高限价×45%；</w:t>
      </w:r>
    </w:p>
    <w:p w14:paraId="397C3706">
      <w:pPr>
        <w:widowControl/>
        <w:shd w:val="clear" w:color="auto" w:fill="FFFFFF"/>
        <w:spacing w:line="360" w:lineRule="auto"/>
        <w:ind w:firstLine="422" w:firstLineChars="200"/>
        <w:jc w:val="left"/>
        <w:rPr>
          <w:rFonts w:hint="eastAsia" w:ascii="宋体" w:hAnsi="宋体" w:cs="宋体"/>
          <w:b/>
          <w:bCs/>
          <w:kern w:val="0"/>
          <w:szCs w:val="21"/>
          <w:highlight w:val="none"/>
        </w:rPr>
      </w:pPr>
      <w:r>
        <w:rPr>
          <w:rFonts w:hint="eastAsia" w:ascii="宋体" w:hAnsi="宋体" w:cs="宋体"/>
          <w:b/>
          <w:bCs/>
          <w:kern w:val="0"/>
          <w:szCs w:val="21"/>
          <w:highlight w:val="none"/>
        </w:rPr>
        <w:t>（4）评标委员会基于专业判断，认为投标人报价过低，有可能影响产品质量或者不能诚信履约的其他情形；</w:t>
      </w:r>
    </w:p>
    <w:p w14:paraId="3CD56C9F">
      <w:pPr>
        <w:widowControl/>
        <w:shd w:val="clear" w:color="auto" w:fill="FFFFFF"/>
        <w:spacing w:line="360" w:lineRule="auto"/>
        <w:ind w:firstLine="422" w:firstLineChars="200"/>
        <w:jc w:val="left"/>
        <w:rPr>
          <w:rFonts w:hint="eastAsia" w:ascii="宋体" w:hAnsi="宋体" w:cs="宋体"/>
          <w:b/>
          <w:bCs/>
          <w:kern w:val="0"/>
          <w:szCs w:val="21"/>
          <w:highlight w:val="none"/>
        </w:rPr>
      </w:pPr>
      <w:r>
        <w:rPr>
          <w:rFonts w:hint="eastAsia" w:ascii="宋体" w:hAnsi="宋体" w:cs="宋体"/>
          <w:b/>
          <w:bCs/>
          <w:kern w:val="0"/>
          <w:szCs w:val="21"/>
          <w:highlight w:val="none"/>
        </w:rPr>
        <w:t>2、评标委员会启动异常低价投标审查后，属于</w:t>
      </w:r>
      <w:r>
        <w:rPr>
          <w:rFonts w:hint="eastAsia" w:ascii="宋体" w:hAnsi="宋体" w:cs="宋体"/>
          <w:b/>
          <w:bCs/>
          <w:kern w:val="0"/>
          <w:szCs w:val="21"/>
          <w:highlight w:val="none"/>
          <w:lang w:val="en-US" w:eastAsia="zh-CN"/>
        </w:rPr>
        <w:t>以上</w:t>
      </w:r>
      <w:r>
        <w:rPr>
          <w:rFonts w:hint="eastAsia" w:ascii="宋体" w:hAnsi="宋体" w:cs="宋体"/>
          <w:b/>
          <w:bCs/>
          <w:kern w:val="0"/>
          <w:szCs w:val="21"/>
          <w:highlight w:val="none"/>
        </w:rPr>
        <w:t>第（1）项至第（4）项情形的，应当要求相关投标人在评标现场合理的时间内对投标价格作出解释，提供项目具体成本测算等与报价合理性相关的书面说明及必要的证明材料，包括但不限于原材料成本、人工成本、制造费用等，给予相关投标人的合理时间一般不少于30分钟。其中，属于</w:t>
      </w:r>
      <w:r>
        <w:rPr>
          <w:rFonts w:hint="eastAsia" w:ascii="宋体" w:hAnsi="宋体" w:cs="宋体"/>
          <w:b/>
          <w:bCs/>
          <w:kern w:val="0"/>
          <w:szCs w:val="21"/>
          <w:highlight w:val="none"/>
          <w:lang w:val="en-US" w:eastAsia="zh-CN"/>
        </w:rPr>
        <w:t>以上</w:t>
      </w:r>
      <w:r>
        <w:rPr>
          <w:rFonts w:hint="eastAsia" w:ascii="宋体" w:hAnsi="宋体" w:cs="宋体"/>
          <w:b/>
          <w:bCs/>
          <w:kern w:val="0"/>
          <w:szCs w:val="21"/>
          <w:highlight w:val="none"/>
        </w:rPr>
        <w:t>第（3）项情形的，供应商已随投标文件一并提交相关书面说明及必要的证明材料的，在评标现场可不再重复提交。</w:t>
      </w:r>
    </w:p>
    <w:p w14:paraId="5D7345C4">
      <w:pPr>
        <w:widowControl/>
        <w:shd w:val="clear" w:color="auto" w:fill="FFFFFF"/>
        <w:spacing w:line="360" w:lineRule="auto"/>
        <w:ind w:firstLine="422" w:firstLineChars="200"/>
        <w:jc w:val="left"/>
        <w:rPr>
          <w:rFonts w:hint="eastAsia" w:ascii="宋体" w:hAnsi="宋体" w:cs="宋体"/>
          <w:b/>
          <w:bCs/>
          <w:kern w:val="0"/>
          <w:szCs w:val="21"/>
          <w:highlight w:val="none"/>
        </w:rPr>
      </w:pPr>
      <w:r>
        <w:rPr>
          <w:rFonts w:hint="eastAsia" w:ascii="宋体" w:hAnsi="宋体" w:cs="宋体"/>
          <w:b/>
          <w:bCs/>
          <w:kern w:val="0"/>
          <w:szCs w:val="21"/>
          <w:highlight w:val="none"/>
        </w:rPr>
        <w:t>评标委员会依据专业经验，参考同类项目中标（成交）价格、类似产品市场价格水平、行业人工费用标准、国家有关部门指导行业协会发布的行业平均成本等情况，对报价合理性进行判断。投标人不能提供书面说明、证明材料，或者提供的书面说明、证明材料不能证明其报价合理性的，评审委员会应当将其作为无效投标处理。</w:t>
      </w:r>
    </w:p>
    <w:p w14:paraId="5505AC1E">
      <w:pPr>
        <w:widowControl/>
        <w:shd w:val="clear" w:color="auto" w:fill="FFFFFF"/>
        <w:spacing w:line="360" w:lineRule="auto"/>
        <w:ind w:firstLine="422" w:firstLineChars="200"/>
        <w:jc w:val="left"/>
        <w:rPr>
          <w:rFonts w:hint="eastAsia" w:ascii="宋体" w:hAnsi="宋体" w:cs="宋体"/>
          <w:b/>
          <w:bCs/>
          <w:kern w:val="0"/>
          <w:szCs w:val="21"/>
          <w:highlight w:val="none"/>
        </w:rPr>
      </w:pPr>
      <w:r>
        <w:rPr>
          <w:rFonts w:hint="eastAsia" w:ascii="宋体" w:hAnsi="宋体" w:cs="宋体"/>
          <w:b/>
          <w:bCs/>
          <w:kern w:val="0"/>
          <w:szCs w:val="21"/>
          <w:highlight w:val="none"/>
        </w:rPr>
        <w:t>异常低价投标审查的启动原因、审查意见和审查结果应当在评标报告中记录，并随投标人提供的相关书面说明及证明材料，以及评标委员会有关互联网浏览、查询历史一并归档。</w:t>
      </w:r>
    </w:p>
    <w:p w14:paraId="36D7FF3E">
      <w:pPr>
        <w:widowControl/>
        <w:shd w:val="clear" w:color="auto" w:fill="FFFFFF"/>
        <w:spacing w:line="360" w:lineRule="auto"/>
        <w:ind w:firstLine="420"/>
        <w:rPr>
          <w:rFonts w:hint="eastAsia" w:ascii="宋体" w:hAnsi="宋体" w:cs="宋体"/>
          <w:b/>
          <w:kern w:val="0"/>
          <w:szCs w:val="21"/>
          <w:highlight w:val="none"/>
        </w:rPr>
      </w:pPr>
      <w:r>
        <w:rPr>
          <w:rFonts w:hint="eastAsia" w:ascii="宋体" w:hAnsi="宋体" w:cs="宋体"/>
          <w:b/>
          <w:bCs/>
          <w:kern w:val="0"/>
          <w:szCs w:val="21"/>
          <w:highlight w:val="none"/>
        </w:rPr>
        <w:t>23、</w:t>
      </w:r>
      <w:r>
        <w:rPr>
          <w:rFonts w:hint="eastAsia" w:ascii="宋体" w:hAnsi="宋体" w:cs="宋体"/>
          <w:b/>
          <w:kern w:val="0"/>
          <w:szCs w:val="21"/>
          <w:highlight w:val="none"/>
        </w:rPr>
        <w:t>确定中标人</w:t>
      </w:r>
    </w:p>
    <w:p w14:paraId="70CA569D">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23.1 采用最低评标价法的，评标结果按投标报价由低到高顺序排列。投标报价相同的并列。投标文件满足招标文件全部实质性要求且投标报价最低的投标人为排名第一的中标候选人。</w:t>
      </w:r>
    </w:p>
    <w:p w14:paraId="170C99D1">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23.2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6C5EF561">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23.3 中标人确定后，在省级以上财政部门指定的媒体上公告中标结果，中标公告期为1个工作日，公告的同时向中标人发出中标通知书。中标人可在中标结果公告届满之日起三十日内，登录苏采云系统下载。</w:t>
      </w:r>
    </w:p>
    <w:p w14:paraId="2488D117">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因系统存储空间有限，中标结果公告届满之日起三十日后，苏采云系统不再保证提供下载《中标通知书》服务，因未及时下载而造成的不利后果由中标人自行承担。</w:t>
      </w:r>
    </w:p>
    <w:p w14:paraId="000B57C2">
      <w:pPr>
        <w:widowControl/>
        <w:shd w:val="clear" w:color="auto" w:fill="FFFFFF"/>
        <w:spacing w:line="360" w:lineRule="auto"/>
        <w:ind w:firstLine="420"/>
        <w:rPr>
          <w:rFonts w:hint="eastAsia" w:ascii="宋体" w:hAnsi="宋体" w:cs="宋体"/>
          <w:b/>
          <w:kern w:val="0"/>
          <w:szCs w:val="21"/>
        </w:rPr>
      </w:pPr>
      <w:r>
        <w:rPr>
          <w:rFonts w:hint="eastAsia" w:ascii="宋体" w:hAnsi="宋体" w:cs="宋体"/>
          <w:b/>
          <w:bCs/>
          <w:kern w:val="0"/>
          <w:szCs w:val="21"/>
        </w:rPr>
        <w:t>23.4 中标通知书对采购人和中标人具有同等法律效力。中标通知书发出后，采购人不得</w:t>
      </w:r>
      <w:r>
        <w:rPr>
          <w:rFonts w:hint="eastAsia" w:ascii="宋体" w:hAnsi="宋体" w:cs="宋体"/>
          <w:b/>
          <w:kern w:val="0"/>
          <w:szCs w:val="21"/>
        </w:rPr>
        <w:t>违法改变中标结果，中标人无正当理由不得放弃中标。</w:t>
      </w:r>
    </w:p>
    <w:p w14:paraId="1469E1B9">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23.5 所有投标文件不论中标与否，均不退回。</w:t>
      </w:r>
    </w:p>
    <w:p w14:paraId="2B982332">
      <w:pPr>
        <w:widowControl/>
        <w:shd w:val="clear" w:color="auto" w:fill="FFFFFF"/>
        <w:spacing w:line="360" w:lineRule="auto"/>
        <w:ind w:firstLine="412"/>
        <w:rPr>
          <w:rFonts w:hint="eastAsia" w:ascii="宋体" w:hAnsi="宋体" w:cs="宋体"/>
          <w:kern w:val="0"/>
          <w:szCs w:val="21"/>
        </w:rPr>
      </w:pPr>
      <w:r>
        <w:rPr>
          <w:rFonts w:hint="eastAsia" w:ascii="宋体" w:hAnsi="宋体" w:cs="宋体"/>
          <w:b/>
          <w:bCs/>
          <w:kern w:val="0"/>
          <w:szCs w:val="21"/>
        </w:rPr>
        <w:t>24、编写评标报告</w:t>
      </w:r>
    </w:p>
    <w:p w14:paraId="3D8A828C">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24.1评标委员会根据全体评标成员签字的原始评标记录和评标结果编写评标报告。</w:t>
      </w:r>
    </w:p>
    <w:p w14:paraId="5B563762">
      <w:pPr>
        <w:widowControl/>
        <w:shd w:val="clear" w:color="auto" w:fill="FFFFFF"/>
        <w:spacing w:line="360" w:lineRule="auto"/>
        <w:ind w:firstLine="420"/>
        <w:rPr>
          <w:rFonts w:hint="eastAsia" w:ascii="宋体" w:hAnsi="宋体" w:cs="宋体"/>
          <w:kern w:val="0"/>
          <w:szCs w:val="21"/>
        </w:rPr>
      </w:pPr>
      <w:r>
        <w:rPr>
          <w:rFonts w:hint="eastAsia" w:ascii="宋体" w:hAnsi="宋体" w:cs="宋体"/>
          <w:b/>
          <w:bCs/>
          <w:kern w:val="0"/>
          <w:szCs w:val="21"/>
        </w:rPr>
        <w:t>25、评标过程的保密性</w:t>
      </w:r>
    </w:p>
    <w:p w14:paraId="0798DF73">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25.1 采购人和采购代理机构将采取必要措施，保证评标在严格保密的情况下进行。</w:t>
      </w:r>
    </w:p>
    <w:p w14:paraId="0CB22BE2">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25.2 任何单位和个人不得非法干预、影响评标办法的确定，以及评标过程和结果。</w:t>
      </w:r>
    </w:p>
    <w:p w14:paraId="5BB7D1DA">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25.3 凡是与审查、澄清、评价和比较投标的有关资料等，均不向投标人及与评标无关的其他人员透露。</w:t>
      </w:r>
    </w:p>
    <w:p w14:paraId="7C2E2EA7">
      <w:pPr>
        <w:widowControl/>
        <w:shd w:val="clear" w:color="auto" w:fill="FFFFFF"/>
        <w:spacing w:line="360" w:lineRule="auto"/>
        <w:ind w:firstLine="420"/>
        <w:rPr>
          <w:rFonts w:hint="eastAsia" w:ascii="宋体" w:hAnsi="宋体" w:cs="宋体"/>
          <w:kern w:val="0"/>
          <w:szCs w:val="21"/>
        </w:rPr>
      </w:pPr>
      <w:r>
        <w:rPr>
          <w:rFonts w:hint="eastAsia" w:ascii="宋体" w:hAnsi="宋体" w:cs="宋体"/>
          <w:b/>
          <w:bCs/>
          <w:kern w:val="0"/>
          <w:szCs w:val="21"/>
        </w:rPr>
        <w:t>六、签订合同</w:t>
      </w:r>
    </w:p>
    <w:p w14:paraId="574F33B7">
      <w:pPr>
        <w:widowControl/>
        <w:shd w:val="clear" w:color="auto" w:fill="FFFFFF"/>
        <w:spacing w:line="360" w:lineRule="auto"/>
        <w:ind w:firstLine="420"/>
        <w:rPr>
          <w:rFonts w:hint="eastAsia" w:ascii="宋体" w:hAnsi="宋体" w:cs="宋体"/>
          <w:kern w:val="0"/>
          <w:szCs w:val="21"/>
        </w:rPr>
      </w:pPr>
      <w:r>
        <w:rPr>
          <w:rFonts w:hint="eastAsia" w:ascii="宋体" w:hAnsi="宋体" w:cs="宋体"/>
          <w:b/>
          <w:bCs/>
          <w:kern w:val="0"/>
          <w:szCs w:val="21"/>
        </w:rPr>
        <w:t>26、签订合同</w:t>
      </w:r>
    </w:p>
    <w:p w14:paraId="0C562411">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26.1采购人与中标人应当自中标通知书发出之日起30日内，按照招标文件和中标人投标文件的规定，签订书面合同。所签订的合同不得对招标文件确定的事项和中标人投标文件作实质性修改。</w:t>
      </w:r>
    </w:p>
    <w:p w14:paraId="7C05D07C">
      <w:pPr>
        <w:widowControl/>
        <w:shd w:val="clear" w:color="auto" w:fill="FFFFFF"/>
        <w:spacing w:line="360" w:lineRule="auto"/>
        <w:ind w:firstLine="420"/>
        <w:rPr>
          <w:rFonts w:hint="eastAsia" w:ascii="宋体" w:hAnsi="宋体" w:cs="宋体"/>
          <w:b/>
          <w:bCs/>
          <w:szCs w:val="21"/>
          <w:highlight w:val="none"/>
        </w:rPr>
      </w:pPr>
      <w:r>
        <w:rPr>
          <w:rFonts w:hint="eastAsia" w:ascii="宋体" w:hAnsi="宋体" w:cs="宋体"/>
          <w:b/>
          <w:kern w:val="0"/>
          <w:szCs w:val="21"/>
          <w:highlight w:val="none"/>
        </w:rPr>
        <w:t>26.2</w:t>
      </w:r>
      <w:r>
        <w:rPr>
          <w:rFonts w:hint="eastAsia" w:ascii="宋体" w:hAnsi="宋体" w:cs="宋体"/>
          <w:szCs w:val="21"/>
          <w:highlight w:val="none"/>
        </w:rPr>
        <w:t>除继续履行将损害国家利益和社会公众利益的，政府采购合同的双方当事人不得擅自变更、中止或者终止合同。</w:t>
      </w:r>
      <w:r>
        <w:rPr>
          <w:rFonts w:hint="eastAsia" w:ascii="宋体" w:hAnsi="宋体" w:cs="宋体"/>
          <w:b/>
          <w:bCs/>
          <w:szCs w:val="21"/>
          <w:highlight w:val="none"/>
        </w:rPr>
        <w:t>中标人放弃或</w:t>
      </w:r>
      <w:r>
        <w:rPr>
          <w:rFonts w:hint="eastAsia" w:ascii="宋体" w:hAnsi="宋体" w:cs="宋体"/>
          <w:b/>
          <w:bCs/>
          <w:szCs w:val="21"/>
          <w:highlight w:val="none"/>
          <w:lang w:val="en-US" w:eastAsia="zh-CN"/>
        </w:rPr>
        <w:t>者</w:t>
      </w:r>
      <w:r>
        <w:rPr>
          <w:rFonts w:hint="eastAsia" w:ascii="宋体" w:hAnsi="宋体" w:cs="宋体"/>
          <w:b/>
          <w:bCs/>
          <w:szCs w:val="21"/>
          <w:highlight w:val="none"/>
        </w:rPr>
        <w:t>拒绝签订合同的，中标人不得参加该项目重新开展的采购活动，投标保证金不予退还</w:t>
      </w:r>
      <w:r>
        <w:rPr>
          <w:rFonts w:hint="eastAsia" w:ascii="宋体" w:hAnsi="宋体" w:cs="宋体"/>
          <w:b/>
          <w:bCs/>
          <w:kern w:val="0"/>
          <w:szCs w:val="21"/>
          <w:highlight w:val="none"/>
        </w:rPr>
        <w:t>，不收取投标保证金的项目，中标人应向采购人支付采购人为招标所发生的相关费用，</w:t>
      </w:r>
      <w:r>
        <w:rPr>
          <w:rFonts w:hint="eastAsia" w:ascii="宋体" w:hAnsi="宋体" w:cs="宋体"/>
          <w:b/>
          <w:bCs/>
          <w:szCs w:val="21"/>
          <w:highlight w:val="none"/>
        </w:rPr>
        <w:t>由财政部门列入不良行为记录名单，在一至三年内禁止参加政府采购活动，并予以通报。</w:t>
      </w:r>
    </w:p>
    <w:p w14:paraId="332783DA">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26.3采购人不得向中标人提出任何不合理的要求作为签订合同的条件。</w:t>
      </w:r>
    </w:p>
    <w:p w14:paraId="5CEF56BF">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26.4中标人拒绝与采购人签订合同的，采购人可以按照评审报告推荐的中标或者成交候选人名单排序，确定下一候选人为中标或者成交供应商，也可以重新开展政府采购活动。</w:t>
      </w:r>
    </w:p>
    <w:p w14:paraId="2E113760">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26.5 政府采购合同履行中，采购人需追加与合同标的相同的货物或者服务的，在不改变合同其他条款的前提下，可以与供应商协商签订补充合同，但所有补充合同的采购金额不得超过原合同采购金额的百分之十。</w:t>
      </w:r>
    </w:p>
    <w:p w14:paraId="2B277E06">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26.6 采购人与中标人应当根据合同的约定依法履行合同义务。</w:t>
      </w:r>
    </w:p>
    <w:p w14:paraId="64628084">
      <w:pPr>
        <w:widowControl/>
        <w:shd w:val="clear" w:color="auto" w:fill="FFFFFF"/>
        <w:spacing w:line="360" w:lineRule="auto"/>
        <w:ind w:firstLine="420"/>
        <w:rPr>
          <w:rFonts w:hint="eastAsia" w:ascii="宋体" w:hAnsi="宋体" w:cs="宋体"/>
          <w:kern w:val="0"/>
          <w:szCs w:val="21"/>
        </w:rPr>
      </w:pPr>
      <w:r>
        <w:rPr>
          <w:rFonts w:hint="eastAsia" w:ascii="宋体" w:hAnsi="宋体" w:cs="宋体"/>
          <w:b/>
          <w:bCs/>
          <w:kern w:val="0"/>
          <w:szCs w:val="21"/>
        </w:rPr>
        <w:t>七、质疑和投诉</w:t>
      </w:r>
    </w:p>
    <w:p w14:paraId="7286E2C1">
      <w:pPr>
        <w:widowControl/>
        <w:shd w:val="clear" w:color="auto" w:fill="FFFFFF"/>
        <w:spacing w:line="360" w:lineRule="auto"/>
        <w:ind w:firstLine="420"/>
        <w:rPr>
          <w:rFonts w:hint="eastAsia" w:ascii="宋体" w:hAnsi="宋体" w:cs="宋体"/>
          <w:kern w:val="0"/>
          <w:szCs w:val="21"/>
        </w:rPr>
      </w:pPr>
      <w:r>
        <w:rPr>
          <w:rFonts w:hint="eastAsia" w:ascii="宋体" w:hAnsi="宋体" w:cs="宋体"/>
          <w:b/>
          <w:bCs/>
          <w:kern w:val="0"/>
          <w:szCs w:val="21"/>
        </w:rPr>
        <w:t>27、质疑</w:t>
      </w:r>
    </w:p>
    <w:p w14:paraId="1AF26609">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27.1供应商对招标活动事项有疑问的，可以向采购代理机构提出询问，采购代理机构将依法作出答复，但答复的内容不涉及商业秘密</w:t>
      </w:r>
      <w:r>
        <w:rPr>
          <w:rFonts w:hint="eastAsia" w:ascii="宋体" w:hAnsi="宋体" w:cs="宋体"/>
          <w:b/>
          <w:bCs/>
          <w:kern w:val="0"/>
          <w:szCs w:val="21"/>
        </w:rPr>
        <w:t>。</w:t>
      </w:r>
    </w:p>
    <w:p w14:paraId="731A0604">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27.2提出质疑的供应商应当是参与所质疑项目采购活动的供应商。潜在供应商已依法获取其可质疑的采购文件的，可以对该文件提出质疑。</w:t>
      </w:r>
    </w:p>
    <w:p w14:paraId="7B3E350E">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27.3供应商认为采购文件、采购过程和中标结果使自己的合法权益受到损害的，可以在知道或者应知其权益受到损害之日起七个工作日内，</w:t>
      </w:r>
      <w:r>
        <w:rPr>
          <w:rFonts w:hint="eastAsia" w:ascii="宋体" w:hAnsi="宋体" w:cs="宋体"/>
          <w:b/>
          <w:bCs/>
          <w:kern w:val="0"/>
          <w:szCs w:val="21"/>
          <w:lang w:val="en-US" w:eastAsia="zh-CN"/>
        </w:rPr>
        <w:t>以</w:t>
      </w:r>
      <w:r>
        <w:rPr>
          <w:rFonts w:hint="eastAsia" w:ascii="宋体" w:hAnsi="宋体" w:cs="宋体"/>
          <w:b/>
          <w:bCs/>
          <w:kern w:val="0"/>
          <w:szCs w:val="21"/>
          <w:highlight w:val="none"/>
          <w:lang w:val="en-US" w:eastAsia="zh-CN"/>
        </w:rPr>
        <w:t>书面形式向</w:t>
      </w:r>
      <w:r>
        <w:rPr>
          <w:rFonts w:hint="eastAsia" w:ascii="宋体" w:hAnsi="宋体" w:cs="宋体"/>
          <w:b/>
          <w:bCs/>
          <w:kern w:val="0"/>
          <w:szCs w:val="21"/>
        </w:rPr>
        <w:t>采购人或采购代理机构</w:t>
      </w:r>
      <w:r>
        <w:rPr>
          <w:rFonts w:hint="eastAsia" w:ascii="宋体" w:hAnsi="宋体" w:cs="宋体"/>
          <w:b/>
          <w:bCs/>
          <w:kern w:val="0"/>
          <w:szCs w:val="21"/>
          <w:lang w:val="en-US" w:eastAsia="zh-CN"/>
        </w:rPr>
        <w:t>提出质疑</w:t>
      </w:r>
      <w:r>
        <w:rPr>
          <w:rFonts w:hint="eastAsia" w:ascii="宋体" w:hAnsi="宋体" w:cs="宋体"/>
          <w:kern w:val="0"/>
          <w:szCs w:val="21"/>
        </w:rPr>
        <w:t>。</w:t>
      </w:r>
    </w:p>
    <w:p w14:paraId="5C893054">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供应商应知其权益受到损害之日，是指：对采购文件提出质疑的，应当在获取采购文件或者采购文件公告期限届满之日起七个工作日内提出；对采购过程提出质疑的，为各采购程序环节结束之日；对中标或者成交结果提出质疑的，为中标或者成交结果公告期限届满之日。</w:t>
      </w:r>
    </w:p>
    <w:p w14:paraId="74D99180">
      <w:pPr>
        <w:widowControl/>
        <w:shd w:val="clear" w:color="auto" w:fill="FFFFFF"/>
        <w:spacing w:line="360" w:lineRule="auto"/>
        <w:ind w:firstLine="420"/>
        <w:rPr>
          <w:rFonts w:hint="eastAsia" w:ascii="宋体" w:hAnsi="宋体" w:cs="宋体"/>
          <w:b/>
          <w:bCs/>
          <w:kern w:val="0"/>
          <w:szCs w:val="21"/>
        </w:rPr>
      </w:pPr>
      <w:r>
        <w:rPr>
          <w:rFonts w:hint="eastAsia" w:ascii="宋体" w:hAnsi="宋体" w:cs="宋体"/>
          <w:b/>
          <w:bCs/>
        </w:rPr>
        <w:t>供应商必须在法定质疑期内一次性提出针对同一采购程序环节的质疑。</w:t>
      </w:r>
    </w:p>
    <w:p w14:paraId="279B59DE">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27.4 供应商提出质疑应当提交质疑函和必要的证明材料。质疑函应当包括下列内容：</w:t>
      </w:r>
    </w:p>
    <w:p w14:paraId="11043CF9">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（一）供应商的姓名或者名称、地址、邮编、联系人及联系电话；</w:t>
      </w:r>
    </w:p>
    <w:p w14:paraId="14DF4736">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（二）质疑项目的名称、编号；</w:t>
      </w:r>
    </w:p>
    <w:p w14:paraId="1E3E27C8">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（三）具体、明确的质疑事项和与质疑事项相关的请求（具体条款）；</w:t>
      </w:r>
    </w:p>
    <w:p w14:paraId="20C66163">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（四）事实依据（具体条款）；</w:t>
      </w:r>
    </w:p>
    <w:p w14:paraId="39E59626">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（五）必要的法律依据（具体条款）；</w:t>
      </w:r>
    </w:p>
    <w:p w14:paraId="2348E043">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（六）提出质疑的日期。</w:t>
      </w:r>
    </w:p>
    <w:p w14:paraId="0CE60180">
      <w:pPr>
        <w:widowControl/>
        <w:shd w:val="clear" w:color="auto" w:fill="FFFFFF"/>
        <w:spacing w:line="360" w:lineRule="auto"/>
        <w:ind w:firstLine="420"/>
        <w:rPr>
          <w:rFonts w:hint="eastAsia" w:ascii="宋体" w:hAnsi="宋体" w:cs="宋体"/>
          <w:szCs w:val="21"/>
        </w:rPr>
      </w:pPr>
      <w:r>
        <w:rPr>
          <w:rFonts w:hint="eastAsia" w:ascii="宋体" w:hAnsi="宋体" w:cs="宋体"/>
          <w:szCs w:val="21"/>
        </w:rPr>
        <w:t>供应商为自然人的，应当由本人签字；供应商为法人或者其他组织的，应当由法定代表人、主要负责人，或者其授权代表签字或者盖章，并加盖公章。代理人提出质疑和投诉，应当提交供应商签署的授权委托书。其授权委托书应当载明代理人的姓名或者名称、代理事项、具体权限、期限和相关事项。</w:t>
      </w:r>
    </w:p>
    <w:p w14:paraId="4DA5691D">
      <w:pPr>
        <w:widowControl/>
        <w:shd w:val="clear" w:color="auto" w:fill="FFFFFF"/>
        <w:spacing w:line="360" w:lineRule="auto"/>
        <w:ind w:firstLine="420"/>
        <w:rPr>
          <w:rFonts w:hint="eastAsia" w:ascii="宋体" w:hAnsi="宋体" w:cs="宋体"/>
          <w:kern w:val="0"/>
          <w:szCs w:val="21"/>
        </w:rPr>
      </w:pPr>
      <w:r>
        <w:rPr>
          <w:rFonts w:hint="eastAsia" w:ascii="宋体" w:hAnsi="宋体" w:cs="宋体"/>
          <w:szCs w:val="21"/>
        </w:rPr>
        <w:t>质疑函应当使用中文。相关当事人提供外文书证或者外国语视听资料的，应当附有中文译本，由翻译机构盖章或者翻译人员签名。</w:t>
      </w:r>
    </w:p>
    <w:p w14:paraId="19D143D2">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27.</w:t>
      </w:r>
      <w:r>
        <w:rPr>
          <w:rFonts w:hint="eastAsia" w:ascii="宋体" w:hAnsi="宋体" w:cs="宋体"/>
          <w:kern w:val="0"/>
          <w:szCs w:val="21"/>
          <w:lang w:val="en-US" w:eastAsia="zh-CN"/>
        </w:rPr>
        <w:t>5</w:t>
      </w:r>
      <w:r>
        <w:rPr>
          <w:rFonts w:hint="eastAsia" w:ascii="宋体" w:hAnsi="宋体" w:cs="宋体"/>
          <w:kern w:val="0"/>
          <w:szCs w:val="21"/>
        </w:rPr>
        <w:t xml:space="preserve"> 投标人不得虚假质疑和恶意质疑，并对质疑内容的真实性承担责任。投标人或者其他利害关系人通过捏造事实、伪造证明材料等方式提出异议或投诉，阻碍招投标活动正常进行的，属于严重不良行为，</w:t>
      </w:r>
      <w:r>
        <w:rPr>
          <w:rFonts w:hint="eastAsia" w:ascii="宋体" w:hAnsi="宋体" w:cs="宋体"/>
          <w:b/>
          <w:bCs/>
          <w:kern w:val="0"/>
          <w:szCs w:val="21"/>
          <w:highlight w:val="none"/>
        </w:rPr>
        <w:t>财政部门将</w:t>
      </w:r>
      <w:r>
        <w:rPr>
          <w:rFonts w:hint="eastAsia" w:ascii="宋体" w:hAnsi="宋体" w:cs="宋体"/>
          <w:b/>
          <w:bCs/>
          <w:kern w:val="0"/>
          <w:szCs w:val="21"/>
        </w:rPr>
        <w:t>依法予以处罚</w:t>
      </w:r>
      <w:r>
        <w:rPr>
          <w:rFonts w:hint="eastAsia" w:ascii="宋体" w:hAnsi="宋体" w:cs="宋体"/>
          <w:kern w:val="0"/>
          <w:szCs w:val="21"/>
        </w:rPr>
        <w:t>。</w:t>
      </w:r>
    </w:p>
    <w:p w14:paraId="78A7FAE0">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27.</w:t>
      </w:r>
      <w:r>
        <w:rPr>
          <w:rFonts w:hint="eastAsia" w:ascii="宋体" w:hAnsi="宋体" w:cs="宋体"/>
          <w:kern w:val="0"/>
          <w:szCs w:val="21"/>
          <w:lang w:val="en-US" w:eastAsia="zh-CN"/>
        </w:rPr>
        <w:t>6</w:t>
      </w:r>
      <w:r>
        <w:rPr>
          <w:rFonts w:hint="eastAsia" w:ascii="宋体" w:hAnsi="宋体" w:cs="宋体"/>
          <w:kern w:val="0"/>
          <w:szCs w:val="21"/>
        </w:rPr>
        <w:t>采购代理机构在收到投标人的书面质疑后将及时组织调查核实，在</w:t>
      </w:r>
      <w:r>
        <w:rPr>
          <w:rFonts w:hint="eastAsia" w:ascii="宋体" w:hAnsi="宋体" w:cs="宋体"/>
          <w:b/>
          <w:bCs/>
          <w:kern w:val="0"/>
          <w:szCs w:val="21"/>
        </w:rPr>
        <w:t>七个工作日内</w:t>
      </w:r>
      <w:r>
        <w:rPr>
          <w:rFonts w:hint="eastAsia" w:ascii="宋体" w:hAnsi="宋体" w:cs="宋体"/>
          <w:kern w:val="0"/>
          <w:szCs w:val="21"/>
        </w:rPr>
        <w:t>作出答复，并以书面或在网站公告形式通知质疑投标人和其他有关投标人，答复的内容不涉及商业秘密。</w:t>
      </w:r>
    </w:p>
    <w:p w14:paraId="7104EC89">
      <w:pPr>
        <w:widowControl/>
        <w:shd w:val="clear" w:color="auto" w:fill="FFFFFF"/>
        <w:spacing w:line="420" w:lineRule="exact"/>
        <w:ind w:firstLine="420"/>
        <w:rPr>
          <w:rFonts w:hint="eastAsia" w:ascii="宋体" w:hAnsi="宋体" w:cs="宋体"/>
          <w:kern w:val="0"/>
          <w:szCs w:val="21"/>
        </w:rPr>
      </w:pPr>
      <w:r>
        <w:rPr>
          <w:rFonts w:hint="eastAsia" w:ascii="宋体" w:hAnsi="宋体" w:cs="宋体"/>
          <w:b/>
          <w:bCs/>
          <w:kern w:val="0"/>
          <w:szCs w:val="21"/>
        </w:rPr>
        <w:t>28、投诉</w:t>
      </w:r>
    </w:p>
    <w:p w14:paraId="72ABEF76">
      <w:pPr>
        <w:spacing w:line="420" w:lineRule="exact"/>
        <w:ind w:firstLine="420" w:firstLineChars="200"/>
        <w:rPr>
          <w:rFonts w:hint="eastAsia" w:ascii="宋体" w:hAnsi="宋体" w:cs="宋体"/>
        </w:rPr>
      </w:pPr>
      <w:r>
        <w:rPr>
          <w:rFonts w:hint="eastAsia" w:ascii="宋体" w:hAnsi="宋体" w:cs="宋体"/>
        </w:rPr>
        <w:t>28.1质疑供应商对采购代理机构的答复不满意或者采购代理机构未在规定的时间内作出答复的，可以在答复期满后十五个工作日内向同级政府采购监督管理部门投诉。</w:t>
      </w:r>
    </w:p>
    <w:p w14:paraId="6993E015">
      <w:pPr>
        <w:spacing w:line="420" w:lineRule="exact"/>
        <w:ind w:firstLine="420" w:firstLineChars="200"/>
        <w:rPr>
          <w:rFonts w:hint="eastAsia" w:ascii="宋体" w:hAnsi="宋体" w:cs="宋体"/>
        </w:rPr>
      </w:pPr>
      <w:r>
        <w:rPr>
          <w:rFonts w:hint="eastAsia" w:ascii="宋体" w:hAnsi="宋体" w:cs="宋体"/>
          <w:szCs w:val="21"/>
        </w:rPr>
        <w:t>28.2供应商投诉应当有明确的请求和必要的证明材料。供应商投诉的事项不得超出已质疑事项的范围。</w:t>
      </w:r>
    </w:p>
    <w:p w14:paraId="57521886">
      <w:pPr>
        <w:spacing w:line="420" w:lineRule="exact"/>
        <w:ind w:firstLine="420" w:firstLineChars="200"/>
        <w:rPr>
          <w:rFonts w:hint="eastAsia" w:ascii="宋体" w:hAnsi="宋体" w:cs="宋体"/>
        </w:rPr>
      </w:pPr>
      <w:r>
        <w:rPr>
          <w:rFonts w:hint="eastAsia" w:ascii="宋体" w:hAnsi="宋体" w:cs="宋体"/>
          <w:szCs w:val="21"/>
        </w:rPr>
        <w:t>28.3投诉人对政府采购监督管理部门的投诉处理决定不服或者政府采购监督管理部门逾期未作处理的，可以依法申请行政复议或者向人民法院提起行政诉讼。</w:t>
      </w:r>
    </w:p>
    <w:p w14:paraId="3B20C881">
      <w:pPr>
        <w:spacing w:line="420" w:lineRule="exact"/>
        <w:ind w:firstLine="420" w:firstLineChars="200"/>
        <w:rPr>
          <w:rFonts w:hint="eastAsia" w:ascii="宋体" w:hAnsi="宋体" w:cs="宋体"/>
          <w:szCs w:val="21"/>
        </w:rPr>
      </w:pPr>
      <w:r>
        <w:rPr>
          <w:rFonts w:hint="eastAsia" w:ascii="宋体" w:hAnsi="宋体" w:cs="宋体"/>
        </w:rPr>
        <w:t>28.4 投诉人有下列行为之一的，属于严重失信行为，</w:t>
      </w:r>
      <w:r>
        <w:rPr>
          <w:rFonts w:hint="eastAsia" w:ascii="宋体" w:hAnsi="宋体" w:cs="宋体"/>
          <w:szCs w:val="21"/>
        </w:rPr>
        <w:t>由财政部门列入不良行为记录名单，禁止其一至三年内参加政府采购活动。</w:t>
      </w:r>
    </w:p>
    <w:p w14:paraId="6C6A3EA2">
      <w:pPr>
        <w:spacing w:line="420" w:lineRule="exact"/>
        <w:ind w:firstLine="420" w:firstLineChars="200"/>
        <w:rPr>
          <w:rFonts w:hint="eastAsia" w:ascii="宋体" w:hAnsi="宋体" w:cs="宋体"/>
        </w:rPr>
      </w:pPr>
      <w:r>
        <w:rPr>
          <w:rFonts w:hint="eastAsia" w:ascii="宋体" w:hAnsi="宋体" w:cs="宋体"/>
        </w:rPr>
        <w:t>（1）投诉人在全国范围12个月内三次以上投诉查无实据的；</w:t>
      </w:r>
    </w:p>
    <w:p w14:paraId="2869D419">
      <w:pPr>
        <w:spacing w:line="420" w:lineRule="exact"/>
        <w:ind w:firstLine="420" w:firstLineChars="200"/>
        <w:rPr>
          <w:rFonts w:hint="eastAsia" w:ascii="宋体" w:hAnsi="宋体" w:cs="宋体"/>
        </w:rPr>
      </w:pPr>
      <w:r>
        <w:rPr>
          <w:rFonts w:hint="eastAsia" w:ascii="宋体" w:hAnsi="宋体" w:cs="宋体"/>
        </w:rPr>
        <w:t>（2）采用捏造事实、提供虚假材料或者以非法手段取得证明材料等方式进行虚假、恶意投诉。</w:t>
      </w:r>
    </w:p>
    <w:p w14:paraId="7567F68F">
      <w:pPr>
        <w:spacing w:line="420" w:lineRule="exact"/>
        <w:ind w:firstLine="420" w:firstLineChars="200"/>
        <w:rPr>
          <w:rFonts w:hint="eastAsia" w:ascii="宋体" w:hAnsi="宋体" w:cs="宋体"/>
        </w:rPr>
      </w:pPr>
      <w:r>
        <w:rPr>
          <w:rFonts w:hint="eastAsia" w:ascii="宋体" w:hAnsi="宋体" w:cs="宋体"/>
        </w:rPr>
        <w:t>证据来源的合法性存在明显疑问，投诉人无法证明其取得方式合法的，视为以非法手段取得证明材料。</w:t>
      </w:r>
    </w:p>
    <w:p w14:paraId="2844B668">
      <w:pPr>
        <w:widowControl/>
        <w:shd w:val="clear" w:color="auto" w:fill="FFFFFF"/>
        <w:spacing w:line="360" w:lineRule="auto"/>
        <w:ind w:firstLine="422" w:firstLineChars="200"/>
        <w:rPr>
          <w:rFonts w:hint="eastAsia" w:ascii="宋体" w:hAnsi="宋体" w:cs="宋体"/>
          <w:b/>
          <w:bCs/>
          <w:kern w:val="0"/>
          <w:szCs w:val="21"/>
        </w:rPr>
      </w:pPr>
      <w:r>
        <w:rPr>
          <w:rFonts w:hint="eastAsia" w:ascii="宋体" w:hAnsi="宋体" w:cs="宋体"/>
          <w:b/>
          <w:bCs/>
          <w:kern w:val="0"/>
          <w:szCs w:val="21"/>
        </w:rPr>
        <w:t>29、其他</w:t>
      </w:r>
    </w:p>
    <w:p w14:paraId="2D64CD4B">
      <w:pPr>
        <w:spacing w:line="360" w:lineRule="auto"/>
        <w:ind w:firstLine="420" w:firstLineChars="200"/>
        <w:rPr>
          <w:rFonts w:hint="eastAsia" w:ascii="宋体" w:hAnsi="宋体" w:cs="宋体"/>
          <w:szCs w:val="20"/>
        </w:rPr>
      </w:pPr>
      <w:r>
        <w:rPr>
          <w:rFonts w:hint="eastAsia" w:ascii="宋体" w:hAnsi="宋体" w:cs="宋体"/>
          <w:szCs w:val="20"/>
        </w:rPr>
        <w:t>29.1本项目根据江苏省财政厅关于加强政府绿色采购有关事项的通知（苏财购</w:t>
      </w:r>
      <w:r>
        <w:rPr>
          <w:rFonts w:hint="eastAsia" w:ascii="宋体" w:hAnsi="宋体" w:cs="宋体"/>
          <w:kern w:val="0"/>
          <w:szCs w:val="21"/>
        </w:rPr>
        <w:t>〔2023〕65号</w:t>
      </w:r>
      <w:r>
        <w:rPr>
          <w:rFonts w:hint="eastAsia" w:ascii="宋体" w:hAnsi="宋体" w:cs="宋体"/>
          <w:szCs w:val="20"/>
        </w:rPr>
        <w:t>）规定，执行绿色采购需求标准。</w:t>
      </w:r>
    </w:p>
    <w:p w14:paraId="33F6F527">
      <w:pPr>
        <w:rPr>
          <w:rFonts w:hint="eastAsia" w:ascii="宋体" w:hAnsi="宋体" w:cs="宋体"/>
        </w:rPr>
      </w:pPr>
      <w:r>
        <w:rPr>
          <w:rFonts w:hint="eastAsia" w:ascii="宋体" w:hAnsi="宋体" w:cs="宋体"/>
        </w:rPr>
        <w:br w:type="page"/>
      </w:r>
    </w:p>
    <w:p w14:paraId="1DBBCE00">
      <w:pPr>
        <w:pStyle w:val="2"/>
        <w:numPr>
          <w:ilvl w:val="0"/>
          <w:numId w:val="0"/>
        </w:numPr>
        <w:spacing w:line="360" w:lineRule="auto"/>
        <w:rPr>
          <w:rFonts w:hint="eastAsia" w:ascii="宋体" w:hAnsi="宋体" w:cs="宋体"/>
        </w:rPr>
      </w:pPr>
      <w:bookmarkStart w:id="8" w:name="_Toc15715"/>
      <w:bookmarkStart w:id="9" w:name="_Toc481057145"/>
      <w:r>
        <w:rPr>
          <w:rFonts w:hint="eastAsia" w:ascii="宋体" w:hAnsi="宋体" w:cs="宋体"/>
        </w:rPr>
        <w:t>第三章</w:t>
      </w:r>
      <w:bookmarkStart w:id="10" w:name="OLE_LINK7"/>
      <w:bookmarkStart w:id="11" w:name="OLE_LINK6"/>
      <w:r>
        <w:rPr>
          <w:rFonts w:hint="eastAsia" w:ascii="宋体" w:hAnsi="宋体" w:cs="宋体"/>
        </w:rPr>
        <w:t xml:space="preserve"> 评标标准</w:t>
      </w:r>
      <w:bookmarkEnd w:id="8"/>
      <w:bookmarkEnd w:id="10"/>
      <w:bookmarkEnd w:id="11"/>
    </w:p>
    <w:bookmarkEnd w:id="9"/>
    <w:p w14:paraId="444CC8C2">
      <w:pPr>
        <w:spacing w:line="360" w:lineRule="auto"/>
        <w:ind w:firstLine="420" w:firstLineChars="200"/>
        <w:rPr>
          <w:rFonts w:hint="eastAsia" w:ascii="宋体" w:hAnsi="宋体" w:cs="宋体"/>
        </w:rPr>
      </w:pPr>
      <w:r>
        <w:rPr>
          <w:rFonts w:hint="eastAsia" w:ascii="宋体" w:hAnsi="宋体" w:cs="宋体"/>
        </w:rPr>
        <w:t>本项目采用综合评分法，评分统计方法采用百分制（满分100分），将全部评委评分直接进行算术平均，小数点后保留2位。按评审后得分由高到低顺序排列，得分相同的，按投标报价由</w:t>
      </w:r>
      <w:r>
        <w:rPr>
          <w:rFonts w:hint="eastAsia" w:ascii="宋体" w:hAnsi="宋体" w:cs="宋体"/>
          <w:lang w:val="en-US" w:eastAsia="zh-CN"/>
        </w:rPr>
        <w:t>低到高</w:t>
      </w:r>
      <w:r>
        <w:rPr>
          <w:rFonts w:hint="eastAsia" w:ascii="宋体" w:hAnsi="宋体" w:cs="宋体"/>
        </w:rPr>
        <w:t>顺序排列，得分且投标报价相同的，按技术指标优劣顺序排列，由评标委员会确定。</w:t>
      </w:r>
    </w:p>
    <w:tbl>
      <w:tblPr>
        <w:tblStyle w:val="46"/>
        <w:tblW w:w="10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125"/>
        <w:gridCol w:w="7195"/>
        <w:gridCol w:w="746"/>
      </w:tblGrid>
      <w:tr w14:paraId="3639B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14:paraId="6C4DDA2A">
            <w:pPr>
              <w:keepNext w:val="0"/>
              <w:keepLines w:val="0"/>
              <w:pageBreakBefore w:val="0"/>
              <w:widowControl/>
              <w:spacing w:line="24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183E2D02">
            <w:pPr>
              <w:keepNext w:val="0"/>
              <w:keepLines w:val="0"/>
              <w:pageBreakBefore w:val="0"/>
              <w:widowControl/>
              <w:spacing w:line="24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评分因素</w:t>
            </w:r>
          </w:p>
        </w:tc>
        <w:tc>
          <w:tcPr>
            <w:tcW w:w="7195" w:type="dxa"/>
            <w:tcBorders>
              <w:top w:val="single" w:color="auto" w:sz="4" w:space="0"/>
              <w:left w:val="single" w:color="auto" w:sz="4" w:space="0"/>
              <w:bottom w:val="single" w:color="auto" w:sz="4" w:space="0"/>
              <w:right w:val="single" w:color="auto" w:sz="4" w:space="0"/>
            </w:tcBorders>
            <w:noWrap w:val="0"/>
            <w:vAlign w:val="center"/>
          </w:tcPr>
          <w:p w14:paraId="3AC53F4E">
            <w:pPr>
              <w:keepNext w:val="0"/>
              <w:keepLines w:val="0"/>
              <w:pageBreakBefore w:val="0"/>
              <w:widowControl/>
              <w:spacing w:line="24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评审标准</w:t>
            </w:r>
          </w:p>
        </w:tc>
        <w:tc>
          <w:tcPr>
            <w:tcW w:w="746" w:type="dxa"/>
            <w:tcBorders>
              <w:top w:val="single" w:color="auto" w:sz="4" w:space="0"/>
              <w:left w:val="single" w:color="auto" w:sz="4" w:space="0"/>
              <w:bottom w:val="single" w:color="auto" w:sz="4" w:space="0"/>
              <w:right w:val="single" w:color="auto" w:sz="4" w:space="0"/>
            </w:tcBorders>
            <w:noWrap w:val="0"/>
            <w:vAlign w:val="center"/>
          </w:tcPr>
          <w:p w14:paraId="31F7A3F8">
            <w:pPr>
              <w:keepNext w:val="0"/>
              <w:keepLines w:val="0"/>
              <w:pageBreakBefore w:val="0"/>
              <w:widowControl/>
              <w:spacing w:line="24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r>
      <w:tr w14:paraId="18EBE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14:paraId="48C7B243">
            <w:pPr>
              <w:keepNext w:val="0"/>
              <w:keepLines w:val="0"/>
              <w:pageBreakBefore w:val="0"/>
              <w:widowControl/>
              <w:spacing w:line="24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2CFCFE80">
            <w:pPr>
              <w:keepNext w:val="0"/>
              <w:keepLines w:val="0"/>
              <w:pageBreakBefore w:val="0"/>
              <w:spacing w:line="24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价格</w:t>
            </w:r>
          </w:p>
          <w:p w14:paraId="522A9DB6">
            <w:pPr>
              <w:keepNext w:val="0"/>
              <w:keepLines w:val="0"/>
              <w:pageBreakBefore w:val="0"/>
              <w:spacing w:line="24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w:t>
            </w: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lang w:val="en-US" w:eastAsia="zh-CN"/>
              </w:rPr>
              <w:t>分</w:t>
            </w:r>
          </w:p>
        </w:tc>
        <w:tc>
          <w:tcPr>
            <w:tcW w:w="7195" w:type="dxa"/>
            <w:tcBorders>
              <w:top w:val="single" w:color="auto" w:sz="4" w:space="0"/>
              <w:left w:val="single" w:color="auto" w:sz="4" w:space="0"/>
              <w:bottom w:val="single" w:color="auto" w:sz="4" w:space="0"/>
              <w:right w:val="single" w:color="auto" w:sz="4" w:space="0"/>
            </w:tcBorders>
            <w:noWrap w:val="0"/>
            <w:vAlign w:val="center"/>
          </w:tcPr>
          <w:p w14:paraId="742DBE98">
            <w:pPr>
              <w:keepNext w:val="0"/>
              <w:keepLines w:val="0"/>
              <w:pageBreakBefore w:val="0"/>
              <w:spacing w:line="240" w:lineRule="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采用低价优先法计算，满足招标文件要求且投标价格最低的投标报价为评标基准价，其价格分为满分。其他供应商的价格分按照下列公式计算（小数点后保留两位）：投标报价得分=</w:t>
            </w:r>
            <w:r>
              <w:rPr>
                <w:rFonts w:hint="default" w:ascii="Times New Roman" w:hAnsi="Times New Roman" w:eastAsia="宋体" w:cs="Times New Roman"/>
                <w:highlight w:val="none"/>
                <w:lang w:val="en-US" w:eastAsia="zh-CN"/>
              </w:rPr>
              <w:t>（评标基准价／投标报价）</w:t>
            </w:r>
            <w:r>
              <w:rPr>
                <w:rFonts w:hint="eastAsia" w:ascii="Times New Roman" w:hAnsi="Times New Roman" w:eastAsia="宋体" w:cs="Times New Roman"/>
                <w:highlight w:val="none"/>
                <w:lang w:val="en-US" w:eastAsia="zh-CN"/>
              </w:rPr>
              <w:t>×1</w:t>
            </w:r>
            <w:r>
              <w:rPr>
                <w:rFonts w:hint="eastAsia" w:cs="Times New Roman"/>
                <w:highlight w:val="none"/>
                <w:lang w:val="en-US" w:eastAsia="zh-CN"/>
              </w:rPr>
              <w:t>5</w:t>
            </w:r>
            <w:r>
              <w:rPr>
                <w:rFonts w:hint="eastAsia" w:ascii="Times New Roman" w:hAnsi="Times New Roman" w:eastAsia="宋体" w:cs="Times New Roman"/>
                <w:highlight w:val="none"/>
                <w:lang w:val="en-US" w:eastAsia="zh-CN"/>
              </w:rPr>
              <w:t>。</w:t>
            </w:r>
          </w:p>
        </w:tc>
        <w:tc>
          <w:tcPr>
            <w:tcW w:w="746" w:type="dxa"/>
            <w:tcBorders>
              <w:top w:val="single" w:color="auto" w:sz="4" w:space="0"/>
              <w:left w:val="single" w:color="auto" w:sz="4" w:space="0"/>
              <w:bottom w:val="single" w:color="auto" w:sz="4" w:space="0"/>
              <w:right w:val="single" w:color="auto" w:sz="4" w:space="0"/>
            </w:tcBorders>
            <w:noWrap w:val="0"/>
            <w:vAlign w:val="center"/>
          </w:tcPr>
          <w:p w14:paraId="68C2A876">
            <w:pPr>
              <w:keepNext w:val="0"/>
              <w:keepLines w:val="0"/>
              <w:pageBreakBefore w:val="0"/>
              <w:widowControl/>
              <w:spacing w:line="24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w:t>
            </w:r>
            <w:r>
              <w:rPr>
                <w:rFonts w:hint="eastAsia" w:ascii="宋体" w:hAnsi="宋体" w:cs="宋体"/>
                <w:b/>
                <w:bCs/>
                <w:color w:val="auto"/>
                <w:sz w:val="21"/>
                <w:szCs w:val="21"/>
                <w:highlight w:val="none"/>
                <w:lang w:val="en-US" w:eastAsia="zh-CN"/>
              </w:rPr>
              <w:t>5</w:t>
            </w:r>
          </w:p>
        </w:tc>
      </w:tr>
      <w:tr w14:paraId="2AC30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14:paraId="253A644C">
            <w:pPr>
              <w:keepNext w:val="0"/>
              <w:keepLines w:val="0"/>
              <w:pageBreakBefore w:val="0"/>
              <w:widowControl/>
              <w:spacing w:line="24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2.1</w:t>
            </w:r>
          </w:p>
        </w:tc>
        <w:tc>
          <w:tcPr>
            <w:tcW w:w="1125" w:type="dxa"/>
            <w:vMerge w:val="restart"/>
            <w:tcBorders>
              <w:top w:val="single" w:color="auto" w:sz="4" w:space="0"/>
              <w:left w:val="single" w:color="auto" w:sz="4" w:space="0"/>
              <w:right w:val="single" w:color="auto" w:sz="4" w:space="0"/>
            </w:tcBorders>
            <w:noWrap w:val="0"/>
            <w:vAlign w:val="center"/>
          </w:tcPr>
          <w:p w14:paraId="54BCD3C3">
            <w:pPr>
              <w:keepNext w:val="0"/>
              <w:keepLines w:val="0"/>
              <w:pageBreakBefore w:val="0"/>
              <w:spacing w:line="240" w:lineRule="auto"/>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资质</w:t>
            </w:r>
          </w:p>
          <w:p w14:paraId="60333D42">
            <w:pPr>
              <w:keepNext w:val="0"/>
              <w:keepLines w:val="0"/>
              <w:pageBreakBefore w:val="0"/>
              <w:spacing w:line="240" w:lineRule="auto"/>
              <w:jc w:val="center"/>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13</w:t>
            </w:r>
            <w:r>
              <w:rPr>
                <w:rFonts w:hint="eastAsia" w:ascii="宋体" w:hAnsi="宋体" w:eastAsia="宋体" w:cs="宋体"/>
                <w:b/>
                <w:bCs/>
                <w:color w:val="auto"/>
                <w:sz w:val="21"/>
                <w:szCs w:val="21"/>
                <w:highlight w:val="none"/>
                <w:lang w:val="en-US" w:eastAsia="zh-CN"/>
              </w:rPr>
              <w:t>分</w:t>
            </w:r>
          </w:p>
          <w:p w14:paraId="54C9B24C">
            <w:pPr>
              <w:keepNext w:val="0"/>
              <w:keepLines w:val="0"/>
              <w:pageBreakBefore w:val="0"/>
              <w:spacing w:line="240" w:lineRule="auto"/>
              <w:jc w:val="center"/>
              <w:rPr>
                <w:rFonts w:hint="eastAsia" w:ascii="宋体" w:hAnsi="宋体" w:eastAsia="宋体" w:cs="宋体"/>
                <w:b/>
                <w:bCs/>
                <w:color w:val="auto"/>
                <w:sz w:val="21"/>
                <w:szCs w:val="21"/>
                <w:highlight w:val="none"/>
              </w:rPr>
            </w:pPr>
          </w:p>
        </w:tc>
        <w:tc>
          <w:tcPr>
            <w:tcW w:w="7195" w:type="dxa"/>
            <w:tcBorders>
              <w:top w:val="single" w:color="auto" w:sz="4" w:space="0"/>
              <w:left w:val="single" w:color="auto" w:sz="4" w:space="0"/>
              <w:bottom w:val="single" w:color="auto" w:sz="4" w:space="0"/>
              <w:right w:val="single" w:color="auto" w:sz="4" w:space="0"/>
            </w:tcBorders>
            <w:noWrap w:val="0"/>
            <w:vAlign w:val="center"/>
          </w:tcPr>
          <w:p w14:paraId="50CFAB36">
            <w:pPr>
              <w:keepNext w:val="0"/>
              <w:keepLines w:val="0"/>
              <w:pageBreakBefore w:val="0"/>
              <w:spacing w:line="240" w:lineRule="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供应商</w:t>
            </w:r>
            <w:r>
              <w:rPr>
                <w:rFonts w:hint="eastAsia" w:ascii="宋体" w:hAnsi="宋体" w:eastAsia="宋体" w:cs="宋体"/>
                <w:b/>
                <w:bCs/>
                <w:color w:val="auto"/>
                <w:sz w:val="21"/>
                <w:szCs w:val="21"/>
                <w:highlight w:val="none"/>
              </w:rPr>
              <w:t>具有良好的实验室运营管理经验</w:t>
            </w:r>
            <w:r>
              <w:rPr>
                <w:rFonts w:hint="eastAsia" w:ascii="宋体" w:hAnsi="宋体" w:eastAsia="宋体" w:cs="宋体"/>
                <w:b/>
                <w:bCs/>
                <w:color w:val="auto"/>
                <w:sz w:val="21"/>
                <w:szCs w:val="21"/>
                <w:highlight w:val="none"/>
                <w:lang w:eastAsia="zh-CN"/>
              </w:rPr>
              <w:t>：</w:t>
            </w:r>
          </w:p>
          <w:p w14:paraId="6C7C209C">
            <w:pPr>
              <w:keepNext w:val="0"/>
              <w:keepLines w:val="0"/>
              <w:pageBreakBefore w:val="0"/>
              <w:spacing w:line="240" w:lineRule="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（1）具备计量认证合格证书（CMA）得4分；</w:t>
            </w:r>
          </w:p>
          <w:p w14:paraId="6CF4391B">
            <w:pPr>
              <w:keepNext w:val="0"/>
              <w:keepLines w:val="0"/>
              <w:pageBreakBefore w:val="0"/>
              <w:spacing w:line="240" w:lineRule="auto"/>
              <w:rPr>
                <w:rFonts w:hint="eastAsia" w:ascii="宋体" w:hAnsi="宋体" w:eastAsia="宋体" w:cs="宋体"/>
                <w:color w:val="auto"/>
                <w:sz w:val="21"/>
                <w:szCs w:val="21"/>
                <w:highlight w:val="none"/>
              </w:rPr>
            </w:pPr>
            <w:r>
              <w:rPr>
                <w:rFonts w:hint="eastAsia" w:ascii="Times New Roman" w:hAnsi="Times New Roman" w:eastAsia="宋体" w:cs="Times New Roman"/>
                <w:highlight w:val="none"/>
                <w:lang w:val="en-US" w:eastAsia="zh-CN"/>
              </w:rPr>
              <w:t>（2）具备农产品质量安全检测机构资质</w:t>
            </w:r>
            <w:r>
              <w:rPr>
                <w:rFonts w:hint="default" w:ascii="Times New Roman" w:hAnsi="Times New Roman" w:eastAsia="宋体" w:cs="Times New Roman"/>
                <w:highlight w:val="none"/>
                <w:lang w:val="en-US" w:eastAsia="zh-CN"/>
              </w:rPr>
              <w:t>（</w:t>
            </w:r>
            <w:r>
              <w:rPr>
                <w:rFonts w:hint="eastAsia" w:ascii="Times New Roman" w:hAnsi="Times New Roman" w:eastAsia="宋体" w:cs="Times New Roman"/>
                <w:highlight w:val="none"/>
                <w:lang w:val="en-US" w:eastAsia="zh-CN"/>
              </w:rPr>
              <w:t>CATL</w:t>
            </w:r>
            <w:r>
              <w:rPr>
                <w:rFonts w:hint="default" w:ascii="Times New Roman" w:hAnsi="Times New Roman" w:eastAsia="宋体" w:cs="Times New Roman"/>
                <w:highlight w:val="none"/>
                <w:lang w:val="en-US" w:eastAsia="zh-CN"/>
              </w:rPr>
              <w:t>）</w:t>
            </w:r>
            <w:r>
              <w:rPr>
                <w:rFonts w:hint="eastAsia" w:ascii="Times New Roman" w:hAnsi="Times New Roman" w:eastAsia="宋体" w:cs="Times New Roman"/>
                <w:highlight w:val="none"/>
                <w:lang w:val="en-US" w:eastAsia="zh-CN"/>
              </w:rPr>
              <w:t>得4分。</w:t>
            </w:r>
            <w:r>
              <w:rPr>
                <w:rFonts w:hint="eastAsia" w:ascii="宋体" w:hAnsi="宋体" w:eastAsia="宋体" w:cs="宋体"/>
                <w:color w:val="auto"/>
                <w:sz w:val="21"/>
                <w:szCs w:val="21"/>
                <w:highlight w:val="none"/>
              </w:rPr>
              <w:br w:type="textWrapping"/>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须</w:t>
            </w:r>
            <w:r>
              <w:rPr>
                <w:rFonts w:hint="eastAsia" w:ascii="宋体" w:hAnsi="宋体" w:eastAsia="宋体" w:cs="宋体"/>
                <w:b/>
                <w:bCs/>
                <w:color w:val="auto"/>
                <w:sz w:val="21"/>
                <w:szCs w:val="21"/>
                <w:highlight w:val="none"/>
                <w:lang w:val="en-US" w:eastAsia="zh-CN"/>
              </w:rPr>
              <w:t>提供</w:t>
            </w:r>
            <w:r>
              <w:rPr>
                <w:rFonts w:hint="eastAsia" w:ascii="宋体" w:hAnsi="宋体" w:eastAsia="宋体" w:cs="宋体"/>
                <w:b/>
                <w:bCs/>
                <w:color w:val="auto"/>
                <w:sz w:val="21"/>
                <w:szCs w:val="21"/>
                <w:highlight w:val="none"/>
              </w:rPr>
              <w:t>有效期内</w:t>
            </w:r>
            <w:r>
              <w:rPr>
                <w:rFonts w:hint="eastAsia" w:ascii="宋体" w:hAnsi="宋体" w:cs="宋体"/>
                <w:b/>
                <w:bCs/>
                <w:color w:val="auto"/>
                <w:sz w:val="21"/>
                <w:szCs w:val="21"/>
                <w:highlight w:val="none"/>
                <w:lang w:val="en-US" w:eastAsia="zh-CN"/>
              </w:rPr>
              <w:t>的</w:t>
            </w:r>
            <w:r>
              <w:rPr>
                <w:rFonts w:hint="eastAsia" w:ascii="宋体" w:hAnsi="宋体" w:eastAsia="宋体" w:cs="宋体"/>
                <w:b/>
                <w:bCs/>
                <w:color w:val="auto"/>
                <w:sz w:val="21"/>
                <w:szCs w:val="21"/>
                <w:highlight w:val="none"/>
                <w:lang w:val="en-US" w:eastAsia="zh-CN"/>
              </w:rPr>
              <w:t>相关证书的复印件加盖公章</w:t>
            </w:r>
            <w:r>
              <w:rPr>
                <w:rFonts w:hint="eastAsia" w:ascii="宋体" w:hAnsi="宋体" w:eastAsia="宋体" w:cs="宋体"/>
                <w:b/>
                <w:bCs/>
                <w:color w:val="auto"/>
                <w:sz w:val="21"/>
                <w:szCs w:val="21"/>
                <w:highlight w:val="none"/>
                <w:lang w:eastAsia="zh-CN"/>
              </w:rPr>
              <w:t>）</w:t>
            </w:r>
          </w:p>
        </w:tc>
        <w:tc>
          <w:tcPr>
            <w:tcW w:w="746" w:type="dxa"/>
            <w:tcBorders>
              <w:top w:val="single" w:color="auto" w:sz="4" w:space="0"/>
              <w:left w:val="single" w:color="auto" w:sz="4" w:space="0"/>
              <w:bottom w:val="single" w:color="auto" w:sz="4" w:space="0"/>
              <w:right w:val="single" w:color="auto" w:sz="4" w:space="0"/>
            </w:tcBorders>
            <w:noWrap w:val="0"/>
            <w:vAlign w:val="center"/>
          </w:tcPr>
          <w:p w14:paraId="62E65DA8">
            <w:pPr>
              <w:keepNext w:val="0"/>
              <w:keepLines w:val="0"/>
              <w:pageBreakBefore w:val="0"/>
              <w:widowControl/>
              <w:spacing w:line="240" w:lineRule="auto"/>
              <w:jc w:val="center"/>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8</w:t>
            </w:r>
          </w:p>
        </w:tc>
      </w:tr>
      <w:tr w14:paraId="2C515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14:paraId="63E532F1">
            <w:pPr>
              <w:keepNext w:val="0"/>
              <w:keepLines w:val="0"/>
              <w:pageBreakBefore w:val="0"/>
              <w:widowControl/>
              <w:spacing w:line="240" w:lineRule="auto"/>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2.</w:t>
            </w:r>
            <w:r>
              <w:rPr>
                <w:rFonts w:hint="eastAsia" w:ascii="宋体" w:hAnsi="宋体" w:eastAsia="宋体" w:cs="宋体"/>
                <w:b/>
                <w:bCs/>
                <w:color w:val="auto"/>
                <w:sz w:val="21"/>
                <w:szCs w:val="21"/>
                <w:highlight w:val="none"/>
                <w:lang w:val="en-US" w:eastAsia="zh-CN"/>
              </w:rPr>
              <w:t>2</w:t>
            </w:r>
          </w:p>
        </w:tc>
        <w:tc>
          <w:tcPr>
            <w:tcW w:w="1125" w:type="dxa"/>
            <w:vMerge w:val="continue"/>
            <w:tcBorders>
              <w:left w:val="single" w:color="auto" w:sz="4" w:space="0"/>
              <w:right w:val="single" w:color="auto" w:sz="4" w:space="0"/>
            </w:tcBorders>
            <w:noWrap w:val="0"/>
            <w:vAlign w:val="center"/>
          </w:tcPr>
          <w:p w14:paraId="32173FC9">
            <w:pPr>
              <w:keepNext w:val="0"/>
              <w:keepLines w:val="0"/>
              <w:pageBreakBefore w:val="0"/>
              <w:spacing w:line="240" w:lineRule="auto"/>
              <w:jc w:val="center"/>
              <w:rPr>
                <w:rFonts w:hint="eastAsia" w:ascii="宋体" w:hAnsi="宋体" w:eastAsia="宋体" w:cs="宋体"/>
                <w:b/>
                <w:bCs/>
                <w:color w:val="auto"/>
                <w:sz w:val="21"/>
                <w:szCs w:val="21"/>
                <w:highlight w:val="none"/>
              </w:rPr>
            </w:pPr>
          </w:p>
        </w:tc>
        <w:tc>
          <w:tcPr>
            <w:tcW w:w="7195" w:type="dxa"/>
            <w:tcBorders>
              <w:top w:val="single" w:color="auto" w:sz="4" w:space="0"/>
              <w:left w:val="single" w:color="auto" w:sz="4" w:space="0"/>
              <w:bottom w:val="single" w:color="auto" w:sz="4" w:space="0"/>
              <w:right w:val="single" w:color="auto" w:sz="4" w:space="0"/>
            </w:tcBorders>
            <w:noWrap w:val="0"/>
            <w:vAlign w:val="center"/>
          </w:tcPr>
          <w:p w14:paraId="4C050DCB">
            <w:pPr>
              <w:keepNext w:val="0"/>
              <w:keepLines w:val="0"/>
              <w:pageBreakBefore w:val="0"/>
              <w:spacing w:line="24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能力验证：</w:t>
            </w:r>
          </w:p>
          <w:p w14:paraId="7A7D8AD6">
            <w:pPr>
              <w:keepNext w:val="0"/>
              <w:keepLines w:val="0"/>
              <w:pageBreakBefore w:val="0"/>
              <w:spacing w:line="240" w:lineRule="auto"/>
              <w:rPr>
                <w:rFonts w:hint="eastAsia" w:ascii="宋体" w:hAnsi="宋体" w:eastAsia="宋体" w:cs="宋体"/>
                <w:color w:val="auto"/>
                <w:sz w:val="21"/>
                <w:szCs w:val="21"/>
                <w:highlight w:val="none"/>
              </w:rPr>
            </w:pPr>
            <w:r>
              <w:rPr>
                <w:rFonts w:hint="default" w:ascii="Times New Roman" w:hAnsi="Times New Roman" w:eastAsia="宋体" w:cs="Times New Roman"/>
                <w:highlight w:val="none"/>
                <w:lang w:val="en-US" w:eastAsia="zh-CN"/>
              </w:rPr>
              <w:t>自202</w:t>
            </w:r>
            <w:r>
              <w:rPr>
                <w:rFonts w:hint="eastAsia" w:ascii="Times New Roman" w:hAnsi="Times New Roman" w:eastAsia="宋体" w:cs="Times New Roman"/>
                <w:highlight w:val="none"/>
                <w:lang w:val="en-US" w:eastAsia="zh-CN"/>
              </w:rPr>
              <w:t>3</w:t>
            </w:r>
            <w:r>
              <w:rPr>
                <w:rFonts w:hint="default" w:ascii="Times New Roman" w:hAnsi="Times New Roman" w:eastAsia="宋体" w:cs="Times New Roman"/>
                <w:highlight w:val="none"/>
                <w:lang w:val="en-US" w:eastAsia="zh-CN"/>
              </w:rPr>
              <w:t>年1月1日以来，</w:t>
            </w:r>
            <w:r>
              <w:rPr>
                <w:rFonts w:hint="eastAsia" w:ascii="Times New Roman" w:hAnsi="Times New Roman" w:eastAsia="宋体" w:cs="Times New Roman"/>
                <w:highlight w:val="none"/>
                <w:lang w:val="en-US" w:eastAsia="zh-CN"/>
              </w:rPr>
              <w:t>供应商参与市场监管部门实验室能力验证情况：对农药残留、兽药残留、食品添加剂、非法添加、微生物等领域，每一个领域结果满意的，得1分，满分为5分。</w:t>
            </w:r>
            <w:r>
              <w:rPr>
                <w:rFonts w:hint="eastAsia" w:ascii="宋体" w:hAnsi="宋体" w:eastAsia="宋体" w:cs="宋体"/>
                <w:color w:val="auto"/>
                <w:sz w:val="21"/>
                <w:szCs w:val="21"/>
                <w:highlight w:val="none"/>
              </w:rPr>
              <w:br w:type="textWrapping"/>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须</w:t>
            </w:r>
            <w:r>
              <w:rPr>
                <w:rFonts w:hint="eastAsia" w:ascii="宋体" w:hAnsi="宋体" w:eastAsia="宋体" w:cs="宋体"/>
                <w:b/>
                <w:bCs/>
                <w:color w:val="auto"/>
                <w:sz w:val="21"/>
                <w:szCs w:val="21"/>
                <w:highlight w:val="none"/>
                <w:lang w:val="en-US" w:eastAsia="zh-CN"/>
              </w:rPr>
              <w:t>提供相关证明材料的复印件加盖公章</w:t>
            </w:r>
            <w:r>
              <w:rPr>
                <w:rFonts w:hint="eastAsia" w:ascii="宋体" w:hAnsi="宋体" w:eastAsia="宋体" w:cs="宋体"/>
                <w:b/>
                <w:bCs/>
                <w:color w:val="auto"/>
                <w:sz w:val="21"/>
                <w:szCs w:val="21"/>
                <w:highlight w:val="none"/>
                <w:lang w:eastAsia="zh-CN"/>
              </w:rPr>
              <w:t>）</w:t>
            </w:r>
          </w:p>
        </w:tc>
        <w:tc>
          <w:tcPr>
            <w:tcW w:w="746" w:type="dxa"/>
            <w:tcBorders>
              <w:top w:val="single" w:color="auto" w:sz="4" w:space="0"/>
              <w:left w:val="single" w:color="auto" w:sz="4" w:space="0"/>
              <w:bottom w:val="single" w:color="auto" w:sz="4" w:space="0"/>
              <w:right w:val="single" w:color="auto" w:sz="4" w:space="0"/>
            </w:tcBorders>
            <w:noWrap w:val="0"/>
            <w:vAlign w:val="center"/>
          </w:tcPr>
          <w:p w14:paraId="68FFE40B">
            <w:pPr>
              <w:keepNext w:val="0"/>
              <w:keepLines w:val="0"/>
              <w:pageBreakBefore w:val="0"/>
              <w:widowControl/>
              <w:spacing w:line="24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w:t>
            </w:r>
          </w:p>
        </w:tc>
      </w:tr>
      <w:tr w14:paraId="141DA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14:paraId="4B805F8D">
            <w:pPr>
              <w:keepNext w:val="0"/>
              <w:keepLines w:val="0"/>
              <w:pageBreakBefore w:val="0"/>
              <w:spacing w:line="24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3.1</w:t>
            </w:r>
          </w:p>
        </w:tc>
        <w:tc>
          <w:tcPr>
            <w:tcW w:w="1125" w:type="dxa"/>
            <w:vMerge w:val="restart"/>
            <w:tcBorders>
              <w:left w:val="single" w:color="auto" w:sz="4" w:space="0"/>
              <w:right w:val="single" w:color="auto" w:sz="4" w:space="0"/>
            </w:tcBorders>
            <w:noWrap w:val="0"/>
            <w:vAlign w:val="center"/>
          </w:tcPr>
          <w:p w14:paraId="4FAB2FE0">
            <w:pPr>
              <w:keepNext w:val="0"/>
              <w:keepLines w:val="0"/>
              <w:pageBreakBefore w:val="0"/>
              <w:spacing w:line="240" w:lineRule="auto"/>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人员</w:t>
            </w:r>
          </w:p>
          <w:p w14:paraId="549030F7">
            <w:pPr>
              <w:keepNext w:val="0"/>
              <w:keepLines w:val="0"/>
              <w:pageBreakBefore w:val="0"/>
              <w:spacing w:line="240" w:lineRule="auto"/>
              <w:jc w:val="center"/>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12</w:t>
            </w:r>
            <w:r>
              <w:rPr>
                <w:rFonts w:hint="eastAsia" w:ascii="宋体" w:hAnsi="宋体" w:eastAsia="宋体" w:cs="宋体"/>
                <w:b/>
                <w:bCs/>
                <w:color w:val="auto"/>
                <w:sz w:val="21"/>
                <w:szCs w:val="21"/>
                <w:highlight w:val="none"/>
                <w:lang w:val="en-US" w:eastAsia="zh-CN"/>
              </w:rPr>
              <w:t>分</w:t>
            </w:r>
          </w:p>
        </w:tc>
        <w:tc>
          <w:tcPr>
            <w:tcW w:w="7195" w:type="dxa"/>
            <w:tcBorders>
              <w:top w:val="single" w:color="auto" w:sz="4" w:space="0"/>
              <w:left w:val="single" w:color="auto" w:sz="4" w:space="0"/>
              <w:bottom w:val="single" w:color="auto" w:sz="4" w:space="0"/>
              <w:right w:val="single" w:color="auto" w:sz="4" w:space="0"/>
            </w:tcBorders>
            <w:noWrap w:val="0"/>
            <w:vAlign w:val="center"/>
          </w:tcPr>
          <w:p w14:paraId="1CA9AC9B">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供应商需为本项目配备1名专职的项目负责人</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lang w:val="en-US" w:eastAsia="zh-CN"/>
              </w:rPr>
              <w:t>投标文件中需要标注出</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，具体要求如下：</w:t>
            </w:r>
          </w:p>
          <w:p w14:paraId="652FD640">
            <w:pPr>
              <w:keepNext w:val="0"/>
              <w:keepLines w:val="0"/>
              <w:pageBreakBefore w:val="0"/>
              <w:spacing w:line="240" w:lineRule="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（1）具有食品、化学、生物、农业或与本项目相关专业本科（含）以上学历；</w:t>
            </w:r>
          </w:p>
          <w:p w14:paraId="7AAC7D46">
            <w:pPr>
              <w:keepNext w:val="0"/>
              <w:keepLines w:val="0"/>
              <w:pageBreakBefore w:val="0"/>
              <w:spacing w:line="240" w:lineRule="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（2）具有中级（含）以上职称；</w:t>
            </w:r>
          </w:p>
          <w:p w14:paraId="0FB28813">
            <w:pPr>
              <w:keepNext w:val="0"/>
              <w:keepLines w:val="0"/>
              <w:pageBreakBefore w:val="0"/>
              <w:spacing w:line="240" w:lineRule="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（3）有相关工作经验3年（含）以上。</w:t>
            </w:r>
          </w:p>
          <w:p w14:paraId="69C63375">
            <w:pPr>
              <w:keepNext w:val="0"/>
              <w:keepLines w:val="0"/>
              <w:pageBreakBefore w:val="0"/>
              <w:spacing w:line="240" w:lineRule="auto"/>
              <w:rPr>
                <w:rFonts w:hint="eastAsia" w:ascii="宋体" w:hAnsi="宋体" w:eastAsia="宋体" w:cs="宋体"/>
                <w:color w:val="auto"/>
                <w:sz w:val="21"/>
                <w:szCs w:val="21"/>
                <w:highlight w:val="none"/>
              </w:rPr>
            </w:pPr>
            <w:r>
              <w:rPr>
                <w:rFonts w:hint="eastAsia" w:ascii="Times New Roman" w:hAnsi="Times New Roman" w:eastAsia="宋体" w:cs="Times New Roman"/>
                <w:b/>
                <w:bCs/>
                <w:spacing w:val="-3"/>
                <w:szCs w:val="21"/>
                <w:highlight w:val="none"/>
                <w:lang w:val="en-US" w:eastAsia="zh-CN" w:bidi="zh-CN"/>
              </w:rPr>
              <w:t>（须提供学历证书、学位证书、职称证书、相关工作经验证明和</w:t>
            </w:r>
            <w:r>
              <w:rPr>
                <w:rFonts w:hint="default" w:ascii="Times New Roman" w:hAnsi="Times New Roman" w:eastAsia="宋体" w:cs="Times New Roman"/>
                <w:b/>
                <w:bCs/>
                <w:spacing w:val="-3"/>
                <w:szCs w:val="21"/>
                <w:highlight w:val="none"/>
                <w:lang w:val="zh-CN" w:eastAsia="zh-CN" w:bidi="zh-CN"/>
              </w:rPr>
              <w:t>202</w:t>
            </w:r>
            <w:r>
              <w:rPr>
                <w:rFonts w:hint="eastAsia" w:ascii="Times New Roman" w:hAnsi="Times New Roman" w:eastAsia="宋体" w:cs="Times New Roman"/>
                <w:b/>
                <w:bCs/>
                <w:spacing w:val="-3"/>
                <w:szCs w:val="21"/>
                <w:highlight w:val="none"/>
                <w:lang w:val="en-US" w:eastAsia="zh-CN" w:bidi="zh-CN"/>
              </w:rPr>
              <w:t>5</w:t>
            </w:r>
            <w:r>
              <w:rPr>
                <w:rFonts w:hint="default" w:ascii="Times New Roman" w:hAnsi="Times New Roman" w:eastAsia="宋体" w:cs="Times New Roman"/>
                <w:b/>
                <w:bCs/>
                <w:spacing w:val="-3"/>
                <w:szCs w:val="21"/>
                <w:highlight w:val="none"/>
                <w:lang w:val="zh-CN" w:eastAsia="zh-CN" w:bidi="zh-CN"/>
              </w:rPr>
              <w:t>年</w:t>
            </w:r>
            <w:r>
              <w:rPr>
                <w:rFonts w:hint="eastAsia" w:cs="Times New Roman"/>
                <w:b/>
                <w:bCs/>
                <w:spacing w:val="-3"/>
                <w:szCs w:val="21"/>
                <w:highlight w:val="none"/>
                <w:lang w:val="en-US" w:eastAsia="zh-CN" w:bidi="zh-CN"/>
              </w:rPr>
              <w:t>12</w:t>
            </w:r>
            <w:r>
              <w:rPr>
                <w:rFonts w:hint="default" w:ascii="Times New Roman" w:hAnsi="Times New Roman" w:eastAsia="宋体" w:cs="Times New Roman"/>
                <w:b/>
                <w:bCs/>
                <w:spacing w:val="-3"/>
                <w:szCs w:val="21"/>
                <w:highlight w:val="none"/>
                <w:lang w:val="zh-CN" w:eastAsia="zh-CN" w:bidi="zh-CN"/>
              </w:rPr>
              <w:t>月至</w:t>
            </w:r>
            <w:r>
              <w:rPr>
                <w:rFonts w:hint="default" w:ascii="Times New Roman" w:hAnsi="Times New Roman" w:eastAsia="宋体" w:cs="Times New Roman"/>
                <w:b/>
                <w:bCs/>
                <w:spacing w:val="-3"/>
                <w:szCs w:val="21"/>
                <w:highlight w:val="none"/>
                <w:lang w:val="en-US" w:eastAsia="zh-CN" w:bidi="zh-CN"/>
              </w:rPr>
              <w:t>202</w:t>
            </w:r>
            <w:r>
              <w:rPr>
                <w:rFonts w:hint="eastAsia" w:ascii="Times New Roman" w:hAnsi="Times New Roman" w:eastAsia="宋体" w:cs="Times New Roman"/>
                <w:b/>
                <w:bCs/>
                <w:spacing w:val="-3"/>
                <w:szCs w:val="21"/>
                <w:highlight w:val="none"/>
                <w:lang w:val="en-US" w:eastAsia="zh-CN" w:bidi="zh-CN"/>
              </w:rPr>
              <w:t>6</w:t>
            </w:r>
            <w:r>
              <w:rPr>
                <w:rFonts w:hint="default" w:ascii="Times New Roman" w:hAnsi="Times New Roman" w:eastAsia="宋体" w:cs="Times New Roman"/>
                <w:b/>
                <w:bCs/>
                <w:spacing w:val="-3"/>
                <w:szCs w:val="21"/>
                <w:highlight w:val="none"/>
                <w:lang w:val="en-US" w:eastAsia="zh-CN" w:bidi="zh-CN"/>
              </w:rPr>
              <w:t>年</w:t>
            </w:r>
            <w:r>
              <w:rPr>
                <w:rFonts w:hint="eastAsia" w:cs="Times New Roman"/>
                <w:b/>
                <w:bCs/>
                <w:spacing w:val="-3"/>
                <w:szCs w:val="21"/>
                <w:highlight w:val="none"/>
                <w:lang w:val="en-US" w:eastAsia="zh-CN" w:bidi="zh-CN"/>
              </w:rPr>
              <w:t>5</w:t>
            </w:r>
            <w:r>
              <w:rPr>
                <w:rFonts w:hint="default" w:ascii="Times New Roman" w:hAnsi="Times New Roman" w:eastAsia="宋体" w:cs="Times New Roman"/>
                <w:b/>
                <w:bCs/>
                <w:spacing w:val="-3"/>
                <w:szCs w:val="21"/>
                <w:highlight w:val="none"/>
                <w:lang w:val="zh-CN" w:eastAsia="zh-CN" w:bidi="zh-CN"/>
              </w:rPr>
              <w:t>月</w:t>
            </w:r>
            <w:r>
              <w:rPr>
                <w:rFonts w:hint="default" w:ascii="Times New Roman" w:hAnsi="Times New Roman" w:eastAsia="宋体" w:cs="Times New Roman"/>
                <w:b/>
                <w:bCs/>
                <w:spacing w:val="-3"/>
                <w:szCs w:val="21"/>
                <w:highlight w:val="none"/>
                <w:lang w:val="en-US" w:eastAsia="zh-CN" w:bidi="zh-CN"/>
              </w:rPr>
              <w:t>期间任意一个月</w:t>
            </w:r>
            <w:r>
              <w:rPr>
                <w:rFonts w:hint="default" w:ascii="Times New Roman" w:hAnsi="Times New Roman" w:eastAsia="宋体" w:cs="Times New Roman"/>
                <w:b/>
                <w:bCs/>
                <w:spacing w:val="-3"/>
                <w:szCs w:val="21"/>
                <w:highlight w:val="none"/>
                <w:lang w:val="zh-CN" w:eastAsia="zh-CN" w:bidi="zh-CN"/>
              </w:rPr>
              <w:t>由</w:t>
            </w:r>
            <w:r>
              <w:rPr>
                <w:rFonts w:hint="eastAsia" w:ascii="Times New Roman" w:hAnsi="Times New Roman" w:eastAsia="宋体" w:cs="Times New Roman"/>
                <w:b/>
                <w:bCs/>
                <w:spacing w:val="-3"/>
                <w:szCs w:val="21"/>
                <w:highlight w:val="none"/>
                <w:lang w:val="zh-CN" w:eastAsia="zh-CN" w:bidi="zh-CN"/>
              </w:rPr>
              <w:t>供应商</w:t>
            </w:r>
            <w:r>
              <w:rPr>
                <w:rFonts w:hint="default" w:ascii="Times New Roman" w:hAnsi="Times New Roman" w:eastAsia="宋体" w:cs="Times New Roman"/>
                <w:b/>
                <w:bCs/>
                <w:spacing w:val="-3"/>
                <w:szCs w:val="21"/>
                <w:highlight w:val="none"/>
                <w:lang w:val="zh-CN" w:eastAsia="zh-CN" w:bidi="zh-CN"/>
              </w:rPr>
              <w:t>为其缴纳社保的证明材料</w:t>
            </w:r>
            <w:r>
              <w:rPr>
                <w:rFonts w:hint="eastAsia" w:ascii="Times New Roman" w:hAnsi="Times New Roman" w:eastAsia="宋体" w:cs="Times New Roman"/>
                <w:b/>
                <w:bCs/>
                <w:spacing w:val="-3"/>
                <w:szCs w:val="21"/>
                <w:highlight w:val="none"/>
                <w:lang w:val="en-US" w:eastAsia="zh-CN" w:bidi="zh-CN"/>
              </w:rPr>
              <w:t>复印件并加盖公章。上述条件全部满足得2分，否则不得分）</w:t>
            </w:r>
          </w:p>
        </w:tc>
        <w:tc>
          <w:tcPr>
            <w:tcW w:w="746" w:type="dxa"/>
            <w:tcBorders>
              <w:top w:val="single" w:color="auto" w:sz="4" w:space="0"/>
              <w:left w:val="single" w:color="auto" w:sz="4" w:space="0"/>
              <w:bottom w:val="single" w:color="auto" w:sz="4" w:space="0"/>
              <w:right w:val="single" w:color="auto" w:sz="4" w:space="0"/>
            </w:tcBorders>
            <w:noWrap w:val="0"/>
            <w:vAlign w:val="center"/>
          </w:tcPr>
          <w:p w14:paraId="0AC8912D">
            <w:pPr>
              <w:keepNext w:val="0"/>
              <w:keepLines w:val="0"/>
              <w:pageBreakBefore w:val="0"/>
              <w:spacing w:line="240" w:lineRule="auto"/>
              <w:jc w:val="center"/>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2</w:t>
            </w:r>
          </w:p>
        </w:tc>
      </w:tr>
      <w:tr w14:paraId="377D5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14:paraId="5C5548E4">
            <w:pPr>
              <w:keepNext w:val="0"/>
              <w:keepLines w:val="0"/>
              <w:pageBreakBefore w:val="0"/>
              <w:spacing w:line="24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3.2</w:t>
            </w:r>
          </w:p>
        </w:tc>
        <w:tc>
          <w:tcPr>
            <w:tcW w:w="1125" w:type="dxa"/>
            <w:vMerge w:val="continue"/>
            <w:tcBorders>
              <w:left w:val="single" w:color="auto" w:sz="4" w:space="0"/>
              <w:right w:val="single" w:color="auto" w:sz="4" w:space="0"/>
            </w:tcBorders>
            <w:noWrap w:val="0"/>
            <w:vAlign w:val="center"/>
          </w:tcPr>
          <w:p w14:paraId="6FF0F9C3">
            <w:pPr>
              <w:keepNext w:val="0"/>
              <w:keepLines w:val="0"/>
              <w:pageBreakBefore w:val="0"/>
              <w:spacing w:line="240" w:lineRule="auto"/>
              <w:jc w:val="center"/>
              <w:rPr>
                <w:rFonts w:hint="eastAsia" w:ascii="宋体" w:hAnsi="宋体" w:eastAsia="宋体" w:cs="宋体"/>
                <w:b/>
                <w:bCs/>
                <w:color w:val="auto"/>
                <w:sz w:val="21"/>
                <w:szCs w:val="21"/>
                <w:highlight w:val="none"/>
                <w:lang w:eastAsia="zh-CN"/>
              </w:rPr>
            </w:pPr>
          </w:p>
        </w:tc>
        <w:tc>
          <w:tcPr>
            <w:tcW w:w="7195" w:type="dxa"/>
            <w:tcBorders>
              <w:top w:val="single" w:color="auto" w:sz="4" w:space="0"/>
              <w:left w:val="single" w:color="auto" w:sz="4" w:space="0"/>
              <w:bottom w:val="single" w:color="auto" w:sz="4" w:space="0"/>
              <w:right w:val="single" w:color="auto" w:sz="4" w:space="0"/>
            </w:tcBorders>
            <w:noWrap w:val="0"/>
            <w:vAlign w:val="center"/>
          </w:tcPr>
          <w:p w14:paraId="25315773">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eastAsia="zh-CN"/>
              </w:rPr>
              <w:t>农贸市场</w:t>
            </w:r>
            <w:r>
              <w:rPr>
                <w:rFonts w:hint="eastAsia" w:ascii="宋体" w:hAnsi="宋体" w:cs="宋体"/>
                <w:b/>
                <w:bCs/>
                <w:color w:val="auto"/>
                <w:kern w:val="0"/>
                <w:sz w:val="21"/>
                <w:szCs w:val="21"/>
                <w:highlight w:val="none"/>
                <w:lang w:val="en-US" w:eastAsia="zh-CN"/>
              </w:rPr>
              <w:t>（商超）</w:t>
            </w:r>
            <w:r>
              <w:rPr>
                <w:rFonts w:hint="eastAsia" w:ascii="宋体" w:hAnsi="宋体" w:eastAsia="宋体" w:cs="宋体"/>
                <w:b/>
                <w:bCs/>
                <w:color w:val="auto"/>
                <w:kern w:val="0"/>
                <w:sz w:val="21"/>
                <w:szCs w:val="21"/>
                <w:highlight w:val="none"/>
                <w:lang w:eastAsia="zh-CN"/>
              </w:rPr>
              <w:t>快检运维单位需为本项目至少配备</w:t>
            </w:r>
            <w:r>
              <w:rPr>
                <w:rFonts w:hint="eastAsia" w:ascii="宋体" w:hAnsi="宋体" w:cs="宋体"/>
                <w:b/>
                <w:bCs/>
                <w:color w:val="auto"/>
                <w:kern w:val="0"/>
                <w:sz w:val="21"/>
                <w:szCs w:val="21"/>
                <w:highlight w:val="none"/>
                <w:lang w:val="en-US" w:eastAsia="zh-CN"/>
              </w:rPr>
              <w:t>2</w:t>
            </w:r>
            <w:r>
              <w:rPr>
                <w:rFonts w:hint="eastAsia" w:ascii="宋体" w:hAnsi="宋体" w:eastAsia="宋体" w:cs="宋体"/>
                <w:b/>
                <w:bCs/>
                <w:color w:val="auto"/>
                <w:kern w:val="0"/>
                <w:sz w:val="21"/>
                <w:szCs w:val="21"/>
                <w:highlight w:val="none"/>
                <w:lang w:val="en-US" w:eastAsia="zh-CN"/>
              </w:rPr>
              <w:t>名专职快检服务人员，</w:t>
            </w:r>
            <w:r>
              <w:rPr>
                <w:rFonts w:hint="eastAsia" w:ascii="宋体" w:hAnsi="宋体" w:cs="宋体"/>
                <w:b/>
                <w:bCs/>
                <w:color w:val="auto"/>
                <w:kern w:val="0"/>
                <w:sz w:val="21"/>
                <w:szCs w:val="21"/>
                <w:highlight w:val="none"/>
                <w:lang w:val="en-US" w:eastAsia="zh-CN"/>
              </w:rPr>
              <w:t>每个农贸市场（商超）提供不少于1人的兼职服务人员。</w:t>
            </w:r>
          </w:p>
          <w:p w14:paraId="1D2F0CC4">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kern w:val="0"/>
                <w:sz w:val="21"/>
                <w:szCs w:val="21"/>
                <w:highlight w:val="none"/>
              </w:rPr>
            </w:pPr>
            <w:r>
              <w:rPr>
                <w:rFonts w:hint="eastAsia" w:ascii="宋体" w:hAnsi="宋体" w:cs="宋体"/>
                <w:b/>
                <w:bCs/>
                <w:color w:val="auto"/>
                <w:kern w:val="0"/>
                <w:sz w:val="21"/>
                <w:szCs w:val="21"/>
                <w:highlight w:val="none"/>
                <w:lang w:val="en-US" w:eastAsia="zh-CN"/>
              </w:rPr>
              <w:t>专职人员</w:t>
            </w:r>
            <w:r>
              <w:rPr>
                <w:rFonts w:hint="eastAsia" w:ascii="宋体" w:hAnsi="宋体" w:eastAsia="宋体" w:cs="宋体"/>
                <w:b/>
                <w:bCs/>
                <w:color w:val="auto"/>
                <w:kern w:val="0"/>
                <w:sz w:val="21"/>
                <w:szCs w:val="21"/>
                <w:highlight w:val="none"/>
              </w:rPr>
              <w:t>具体要求如下：</w:t>
            </w:r>
          </w:p>
          <w:p w14:paraId="1A14E878">
            <w:pPr>
              <w:keepNext w:val="0"/>
              <w:keepLines w:val="0"/>
              <w:pageBreakBefore w:val="0"/>
              <w:spacing w:line="240" w:lineRule="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 xml:space="preserve">（1）具有本科（含）以上学历。 </w:t>
            </w:r>
          </w:p>
          <w:p w14:paraId="32B875E4">
            <w:pPr>
              <w:keepNext w:val="0"/>
              <w:keepLines w:val="0"/>
              <w:pageBreakBefore w:val="0"/>
              <w:spacing w:line="240" w:lineRule="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（2）有相关工作经验1年（含）以上。</w:t>
            </w:r>
          </w:p>
          <w:p w14:paraId="10A0E9BC">
            <w:pPr>
              <w:pStyle w:val="61"/>
              <w:spacing w:line="240" w:lineRule="auto"/>
              <w:ind w:left="0" w:leftChars="0" w:firstLine="0" w:firstLineChars="0"/>
              <w:rPr>
                <w:rFonts w:hint="eastAsia" w:ascii="宋体" w:hAnsi="宋体" w:cs="宋体"/>
                <w:b/>
                <w:bCs/>
                <w:color w:val="auto"/>
                <w:kern w:val="0"/>
                <w:sz w:val="21"/>
                <w:szCs w:val="21"/>
                <w:highlight w:val="none"/>
                <w:lang w:eastAsia="zh-CN"/>
              </w:rPr>
            </w:pPr>
            <w:r>
              <w:rPr>
                <w:rFonts w:hint="eastAsia" w:ascii="宋体" w:hAnsi="宋体" w:cs="宋体"/>
                <w:b/>
                <w:bCs/>
                <w:color w:val="auto"/>
                <w:kern w:val="0"/>
                <w:sz w:val="21"/>
                <w:szCs w:val="21"/>
                <w:highlight w:val="none"/>
                <w:lang w:eastAsia="zh-CN"/>
              </w:rPr>
              <w:t>兼职人员具体要求如下：</w:t>
            </w:r>
          </w:p>
          <w:p w14:paraId="432EAAD1">
            <w:pPr>
              <w:keepNext w:val="0"/>
              <w:keepLines w:val="0"/>
              <w:pageBreakBefore w:val="0"/>
              <w:spacing w:line="240" w:lineRule="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（1）高中（含）以上学历。</w:t>
            </w:r>
          </w:p>
          <w:p w14:paraId="5A448834">
            <w:pPr>
              <w:keepNext w:val="0"/>
              <w:keepLines w:val="0"/>
              <w:pageBreakBefore w:val="0"/>
              <w:spacing w:line="240" w:lineRule="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（2）能够胜任检测室各项工作。</w:t>
            </w:r>
          </w:p>
          <w:p w14:paraId="68A8DFC3">
            <w:pPr>
              <w:keepNext w:val="0"/>
              <w:keepLines w:val="0"/>
              <w:pageBreakBefore w:val="0"/>
              <w:spacing w:line="240" w:lineRule="auto"/>
              <w:rPr>
                <w:rFonts w:hint="default" w:ascii="宋体" w:hAnsi="宋体" w:eastAsia="宋体" w:cs="宋体"/>
                <w:color w:val="auto"/>
                <w:sz w:val="21"/>
                <w:szCs w:val="21"/>
                <w:highlight w:val="none"/>
                <w:lang w:val="en-US"/>
              </w:rPr>
            </w:pPr>
            <w:r>
              <w:rPr>
                <w:rFonts w:hint="eastAsia" w:ascii="Times New Roman" w:hAnsi="Times New Roman" w:eastAsia="宋体" w:cs="Times New Roman"/>
                <w:b/>
                <w:bCs/>
                <w:spacing w:val="-3"/>
                <w:szCs w:val="21"/>
                <w:highlight w:val="none"/>
                <w:lang w:val="en-US" w:eastAsia="zh-CN" w:bidi="zh-CN"/>
              </w:rPr>
              <w:t>（专职人员：须提供学历证书、学位证书、相关工作经验证明和</w:t>
            </w:r>
            <w:r>
              <w:rPr>
                <w:rFonts w:hint="default" w:ascii="Times New Roman" w:hAnsi="Times New Roman" w:eastAsia="宋体" w:cs="Times New Roman"/>
                <w:b/>
                <w:bCs/>
                <w:spacing w:val="-3"/>
                <w:szCs w:val="21"/>
                <w:highlight w:val="none"/>
                <w:lang w:val="zh-CN" w:eastAsia="zh-CN" w:bidi="zh-CN"/>
              </w:rPr>
              <w:t>202</w:t>
            </w:r>
            <w:r>
              <w:rPr>
                <w:rFonts w:hint="eastAsia" w:ascii="Times New Roman" w:hAnsi="Times New Roman" w:eastAsia="宋体" w:cs="Times New Roman"/>
                <w:b/>
                <w:bCs/>
                <w:spacing w:val="-3"/>
                <w:szCs w:val="21"/>
                <w:highlight w:val="none"/>
                <w:lang w:val="en-US" w:eastAsia="zh-CN" w:bidi="zh-CN"/>
              </w:rPr>
              <w:t>5</w:t>
            </w:r>
            <w:r>
              <w:rPr>
                <w:rFonts w:hint="default" w:ascii="Times New Roman" w:hAnsi="Times New Roman" w:eastAsia="宋体" w:cs="Times New Roman"/>
                <w:b/>
                <w:bCs/>
                <w:spacing w:val="-3"/>
                <w:szCs w:val="21"/>
                <w:highlight w:val="none"/>
                <w:lang w:val="zh-CN" w:eastAsia="zh-CN" w:bidi="zh-CN"/>
              </w:rPr>
              <w:t>年</w:t>
            </w:r>
            <w:r>
              <w:rPr>
                <w:rFonts w:hint="eastAsia" w:cs="Times New Roman"/>
                <w:b/>
                <w:bCs/>
                <w:spacing w:val="-3"/>
                <w:szCs w:val="21"/>
                <w:highlight w:val="none"/>
                <w:lang w:val="en-US" w:eastAsia="zh-CN" w:bidi="zh-CN"/>
              </w:rPr>
              <w:t>12</w:t>
            </w:r>
            <w:r>
              <w:rPr>
                <w:rFonts w:hint="default" w:ascii="Times New Roman" w:hAnsi="Times New Roman" w:eastAsia="宋体" w:cs="Times New Roman"/>
                <w:b/>
                <w:bCs/>
                <w:spacing w:val="-3"/>
                <w:szCs w:val="21"/>
                <w:highlight w:val="none"/>
                <w:lang w:val="zh-CN" w:eastAsia="zh-CN" w:bidi="zh-CN"/>
              </w:rPr>
              <w:t>月至</w:t>
            </w:r>
            <w:r>
              <w:rPr>
                <w:rFonts w:hint="default" w:ascii="Times New Roman" w:hAnsi="Times New Roman" w:eastAsia="宋体" w:cs="Times New Roman"/>
                <w:b/>
                <w:bCs/>
                <w:spacing w:val="-3"/>
                <w:szCs w:val="21"/>
                <w:highlight w:val="none"/>
                <w:lang w:val="en-US" w:eastAsia="zh-CN" w:bidi="zh-CN"/>
              </w:rPr>
              <w:t>202</w:t>
            </w:r>
            <w:r>
              <w:rPr>
                <w:rFonts w:hint="eastAsia" w:ascii="Times New Roman" w:hAnsi="Times New Roman" w:eastAsia="宋体" w:cs="Times New Roman"/>
                <w:b/>
                <w:bCs/>
                <w:spacing w:val="-3"/>
                <w:szCs w:val="21"/>
                <w:highlight w:val="none"/>
                <w:lang w:val="en-US" w:eastAsia="zh-CN" w:bidi="zh-CN"/>
              </w:rPr>
              <w:t>6</w:t>
            </w:r>
            <w:r>
              <w:rPr>
                <w:rFonts w:hint="default" w:ascii="Times New Roman" w:hAnsi="Times New Roman" w:eastAsia="宋体" w:cs="Times New Roman"/>
                <w:b/>
                <w:bCs/>
                <w:spacing w:val="-3"/>
                <w:szCs w:val="21"/>
                <w:highlight w:val="none"/>
                <w:lang w:val="en-US" w:eastAsia="zh-CN" w:bidi="zh-CN"/>
              </w:rPr>
              <w:t>年</w:t>
            </w:r>
            <w:r>
              <w:rPr>
                <w:rFonts w:hint="eastAsia" w:cs="Times New Roman"/>
                <w:b/>
                <w:bCs/>
                <w:spacing w:val="-3"/>
                <w:szCs w:val="21"/>
                <w:highlight w:val="none"/>
                <w:lang w:val="en-US" w:eastAsia="zh-CN" w:bidi="zh-CN"/>
              </w:rPr>
              <w:t>5</w:t>
            </w:r>
            <w:r>
              <w:rPr>
                <w:rFonts w:hint="default" w:ascii="Times New Roman" w:hAnsi="Times New Roman" w:eastAsia="宋体" w:cs="Times New Roman"/>
                <w:b/>
                <w:bCs/>
                <w:spacing w:val="-3"/>
                <w:szCs w:val="21"/>
                <w:highlight w:val="none"/>
                <w:lang w:val="zh-CN" w:eastAsia="zh-CN" w:bidi="zh-CN"/>
              </w:rPr>
              <w:t>月</w:t>
            </w:r>
            <w:r>
              <w:rPr>
                <w:rFonts w:hint="default" w:ascii="Times New Roman" w:hAnsi="Times New Roman" w:eastAsia="宋体" w:cs="Times New Roman"/>
                <w:b/>
                <w:bCs/>
                <w:spacing w:val="-3"/>
                <w:szCs w:val="21"/>
                <w:highlight w:val="none"/>
                <w:lang w:val="en-US" w:eastAsia="zh-CN" w:bidi="zh-CN"/>
              </w:rPr>
              <w:t>期间任意一个月</w:t>
            </w:r>
            <w:r>
              <w:rPr>
                <w:rFonts w:hint="default" w:ascii="Times New Roman" w:hAnsi="Times New Roman" w:eastAsia="宋体" w:cs="Times New Roman"/>
                <w:b/>
                <w:bCs/>
                <w:spacing w:val="-3"/>
                <w:szCs w:val="21"/>
                <w:highlight w:val="none"/>
                <w:lang w:val="zh-CN" w:eastAsia="zh-CN" w:bidi="zh-CN"/>
              </w:rPr>
              <w:t>由</w:t>
            </w:r>
            <w:r>
              <w:rPr>
                <w:rFonts w:hint="eastAsia" w:ascii="Times New Roman" w:hAnsi="Times New Roman" w:eastAsia="宋体" w:cs="Times New Roman"/>
                <w:b/>
                <w:bCs/>
                <w:spacing w:val="-3"/>
                <w:szCs w:val="21"/>
                <w:highlight w:val="none"/>
                <w:lang w:val="zh-CN" w:eastAsia="zh-CN" w:bidi="zh-CN"/>
              </w:rPr>
              <w:t>供应商</w:t>
            </w:r>
            <w:r>
              <w:rPr>
                <w:rFonts w:hint="default" w:ascii="Times New Roman" w:hAnsi="Times New Roman" w:eastAsia="宋体" w:cs="Times New Roman"/>
                <w:b/>
                <w:bCs/>
                <w:spacing w:val="-3"/>
                <w:szCs w:val="21"/>
                <w:highlight w:val="none"/>
                <w:lang w:val="zh-CN" w:eastAsia="zh-CN" w:bidi="zh-CN"/>
              </w:rPr>
              <w:t>为其缴纳社保的证明材料</w:t>
            </w:r>
            <w:r>
              <w:rPr>
                <w:rFonts w:hint="eastAsia" w:ascii="Times New Roman" w:hAnsi="Times New Roman" w:eastAsia="宋体" w:cs="Times New Roman"/>
                <w:b/>
                <w:bCs/>
                <w:spacing w:val="-3"/>
                <w:szCs w:val="21"/>
                <w:highlight w:val="none"/>
                <w:lang w:val="en-US" w:eastAsia="zh-CN" w:bidi="zh-CN"/>
              </w:rPr>
              <w:t>复印件并加盖公章，每1人上述条件全部满足得2分，否则不得分，本项最高4分；兼职人员提供人员招聘方案及管理制度，能满足分包内服务要求的，</w:t>
            </w:r>
            <w:r>
              <w:rPr>
                <w:rFonts w:hint="eastAsia" w:cs="Times New Roman"/>
                <w:b/>
                <w:bCs/>
                <w:spacing w:val="-3"/>
                <w:szCs w:val="21"/>
                <w:highlight w:val="none"/>
                <w:lang w:val="en-US" w:eastAsia="zh-CN" w:bidi="zh-CN"/>
              </w:rPr>
              <w:t>每人得2</w:t>
            </w:r>
            <w:r>
              <w:rPr>
                <w:rFonts w:hint="eastAsia" w:eastAsia="宋体" w:cs="Times New Roman"/>
                <w:b/>
                <w:bCs/>
                <w:spacing w:val="-3"/>
                <w:szCs w:val="21"/>
                <w:highlight w:val="none"/>
                <w:lang w:val="en-US" w:eastAsia="zh-CN" w:bidi="zh-CN"/>
              </w:rPr>
              <w:t>分，</w:t>
            </w:r>
            <w:r>
              <w:rPr>
                <w:rFonts w:hint="eastAsia" w:ascii="Times New Roman" w:hAnsi="Times New Roman" w:eastAsia="宋体" w:cs="Times New Roman"/>
                <w:b/>
                <w:bCs/>
                <w:spacing w:val="-3"/>
                <w:szCs w:val="21"/>
                <w:highlight w:val="none"/>
                <w:lang w:val="en-US" w:eastAsia="zh-CN" w:bidi="zh-CN"/>
              </w:rPr>
              <w:t>本项最高</w:t>
            </w:r>
            <w:r>
              <w:rPr>
                <w:rFonts w:hint="eastAsia" w:eastAsia="宋体" w:cs="Times New Roman"/>
                <w:b/>
                <w:bCs/>
                <w:spacing w:val="-3"/>
                <w:szCs w:val="21"/>
                <w:highlight w:val="none"/>
                <w:lang w:val="en-US" w:eastAsia="zh-CN" w:bidi="zh-CN"/>
              </w:rPr>
              <w:t>6</w:t>
            </w:r>
            <w:r>
              <w:rPr>
                <w:rFonts w:hint="eastAsia" w:ascii="Times New Roman" w:hAnsi="Times New Roman" w:eastAsia="宋体" w:cs="Times New Roman"/>
                <w:b/>
                <w:bCs/>
                <w:spacing w:val="-3"/>
                <w:szCs w:val="21"/>
                <w:highlight w:val="none"/>
                <w:lang w:val="en-US" w:eastAsia="zh-CN" w:bidi="zh-CN"/>
              </w:rPr>
              <w:t>分。</w:t>
            </w:r>
            <w:r>
              <w:rPr>
                <w:rFonts w:hint="eastAsia" w:cs="Times New Roman"/>
                <w:b/>
                <w:bCs/>
                <w:spacing w:val="-3"/>
                <w:szCs w:val="21"/>
                <w:highlight w:val="none"/>
                <w:lang w:val="en-US" w:eastAsia="zh-CN" w:bidi="zh-CN"/>
              </w:rPr>
              <w:t>）</w:t>
            </w:r>
          </w:p>
        </w:tc>
        <w:tc>
          <w:tcPr>
            <w:tcW w:w="746" w:type="dxa"/>
            <w:tcBorders>
              <w:top w:val="single" w:color="auto" w:sz="4" w:space="0"/>
              <w:left w:val="single" w:color="auto" w:sz="4" w:space="0"/>
              <w:bottom w:val="single" w:color="auto" w:sz="4" w:space="0"/>
              <w:right w:val="single" w:color="auto" w:sz="4" w:space="0"/>
            </w:tcBorders>
            <w:noWrap w:val="0"/>
            <w:vAlign w:val="center"/>
          </w:tcPr>
          <w:p w14:paraId="3E940FA4">
            <w:pPr>
              <w:keepNext w:val="0"/>
              <w:keepLines w:val="0"/>
              <w:pageBreakBefore w:val="0"/>
              <w:spacing w:line="240" w:lineRule="auto"/>
              <w:jc w:val="center"/>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10</w:t>
            </w:r>
          </w:p>
        </w:tc>
      </w:tr>
      <w:tr w14:paraId="15C6E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5"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14:paraId="46759FD6">
            <w:pPr>
              <w:keepNext w:val="0"/>
              <w:keepLines w:val="0"/>
              <w:pageBreakBefore w:val="0"/>
              <w:spacing w:line="24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4.1</w:t>
            </w:r>
          </w:p>
        </w:tc>
        <w:tc>
          <w:tcPr>
            <w:tcW w:w="1125" w:type="dxa"/>
            <w:vMerge w:val="restart"/>
            <w:tcBorders>
              <w:left w:val="single" w:color="auto" w:sz="4" w:space="0"/>
              <w:right w:val="single" w:color="auto" w:sz="4" w:space="0"/>
            </w:tcBorders>
            <w:noWrap w:val="0"/>
            <w:vAlign w:val="center"/>
          </w:tcPr>
          <w:p w14:paraId="325DE7FF">
            <w:pPr>
              <w:keepNext w:val="0"/>
              <w:keepLines w:val="0"/>
              <w:pageBreakBefore w:val="0"/>
              <w:spacing w:line="240" w:lineRule="auto"/>
              <w:jc w:val="center"/>
              <w:rPr>
                <w:rFonts w:hint="eastAsia" w:ascii="宋体" w:hAnsi="宋体" w:eastAsia="宋体" w:cs="宋体"/>
                <w:b/>
                <w:bCs/>
                <w:color w:val="auto"/>
                <w:sz w:val="21"/>
                <w:szCs w:val="21"/>
                <w:highlight w:val="none"/>
              </w:rPr>
            </w:pPr>
          </w:p>
          <w:p w14:paraId="241C3103">
            <w:pPr>
              <w:keepNext w:val="0"/>
              <w:keepLines w:val="0"/>
              <w:pageBreakBefore w:val="0"/>
              <w:spacing w:line="240" w:lineRule="auto"/>
              <w:jc w:val="center"/>
              <w:rPr>
                <w:rFonts w:hint="eastAsia" w:ascii="宋体" w:hAnsi="宋体" w:cs="宋体"/>
                <w:b/>
                <w:bCs/>
                <w:color w:val="auto"/>
                <w:sz w:val="21"/>
                <w:szCs w:val="21"/>
                <w:highlight w:val="none"/>
                <w:lang w:eastAsia="zh-CN"/>
              </w:rPr>
            </w:pPr>
            <w:r>
              <w:rPr>
                <w:rFonts w:hint="eastAsia" w:ascii="宋体" w:hAnsi="宋体" w:cs="宋体"/>
                <w:b/>
                <w:bCs/>
                <w:color w:val="auto"/>
                <w:sz w:val="21"/>
                <w:szCs w:val="21"/>
                <w:highlight w:val="none"/>
                <w:lang w:eastAsia="zh-CN"/>
              </w:rPr>
              <w:t>服务能力</w:t>
            </w:r>
          </w:p>
          <w:p w14:paraId="51002DBA">
            <w:pPr>
              <w:keepNext w:val="0"/>
              <w:keepLines w:val="0"/>
              <w:pageBreakBefore w:val="0"/>
              <w:spacing w:line="240" w:lineRule="auto"/>
              <w:jc w:val="center"/>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50</w:t>
            </w:r>
            <w:r>
              <w:rPr>
                <w:rFonts w:hint="eastAsia" w:ascii="宋体" w:hAnsi="宋体" w:eastAsia="宋体" w:cs="宋体"/>
                <w:b/>
                <w:bCs/>
                <w:color w:val="auto"/>
                <w:sz w:val="21"/>
                <w:szCs w:val="21"/>
                <w:highlight w:val="none"/>
                <w:lang w:val="en-US" w:eastAsia="zh-CN"/>
              </w:rPr>
              <w:t>分</w:t>
            </w:r>
          </w:p>
        </w:tc>
        <w:tc>
          <w:tcPr>
            <w:tcW w:w="7195" w:type="dxa"/>
            <w:tcBorders>
              <w:top w:val="single" w:color="auto" w:sz="4" w:space="0"/>
              <w:left w:val="single" w:color="auto" w:sz="4" w:space="0"/>
              <w:bottom w:val="single" w:color="auto" w:sz="4" w:space="0"/>
              <w:right w:val="single" w:color="auto" w:sz="4" w:space="0"/>
            </w:tcBorders>
            <w:noWrap w:val="0"/>
            <w:vAlign w:val="center"/>
          </w:tcPr>
          <w:p w14:paraId="43D64FED">
            <w:pPr>
              <w:pStyle w:val="194"/>
              <w:keepNext w:val="0"/>
              <w:keepLines w:val="0"/>
              <w:pageBreakBefore w:val="0"/>
              <w:widowControl/>
              <w:spacing w:after="0" w:line="300" w:lineRule="exact"/>
              <w:ind w:left="0" w:leftChars="0" w:firstLine="0" w:firstLineChars="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提供完整的技术服务方案，根据供应商的技术实施方案合理性、科学性、全面性综合评定：</w:t>
            </w:r>
          </w:p>
          <w:p w14:paraId="27E7BA96">
            <w:pPr>
              <w:keepNext w:val="0"/>
              <w:keepLines w:val="0"/>
              <w:pageBreakBefore w:val="0"/>
              <w:spacing w:line="240" w:lineRule="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（1）方案全面、科学合理、操作可行、针对性强，得18分；</w:t>
            </w:r>
          </w:p>
          <w:p w14:paraId="62B5EEB1">
            <w:pPr>
              <w:keepNext w:val="0"/>
              <w:keepLines w:val="0"/>
              <w:pageBreakBefore w:val="0"/>
              <w:spacing w:line="240" w:lineRule="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（2）方案全面，有一定合理性、可操作性、针对性的，得15分；</w:t>
            </w:r>
          </w:p>
          <w:p w14:paraId="6137E41C">
            <w:pPr>
              <w:keepNext w:val="0"/>
              <w:keepLines w:val="0"/>
              <w:pageBreakBefore w:val="0"/>
              <w:spacing w:line="240" w:lineRule="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（3）对于项目需求理解不透彻、整体方案不能完全贴合项目需求的，得1</w:t>
            </w:r>
            <w:r>
              <w:rPr>
                <w:rFonts w:hint="eastAsia" w:cs="Times New Roman"/>
                <w:highlight w:val="none"/>
                <w:lang w:val="en-US" w:eastAsia="zh-CN"/>
              </w:rPr>
              <w:t>2</w:t>
            </w:r>
            <w:r>
              <w:rPr>
                <w:rFonts w:hint="eastAsia" w:ascii="Times New Roman" w:hAnsi="Times New Roman" w:eastAsia="宋体" w:cs="Times New Roman"/>
                <w:highlight w:val="none"/>
                <w:lang w:val="en-US" w:eastAsia="zh-CN"/>
              </w:rPr>
              <w:t>分；</w:t>
            </w:r>
          </w:p>
          <w:p w14:paraId="4B3416E8">
            <w:pPr>
              <w:keepNext w:val="0"/>
              <w:keepLines w:val="0"/>
              <w:pageBreakBefore w:val="0"/>
              <w:spacing w:line="240" w:lineRule="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（4）对于项目需求理解较一般、整体方案较一般的得</w:t>
            </w:r>
            <w:r>
              <w:rPr>
                <w:rFonts w:hint="eastAsia" w:cs="Times New Roman"/>
                <w:highlight w:val="none"/>
                <w:lang w:val="en-US" w:eastAsia="zh-CN"/>
              </w:rPr>
              <w:t>9</w:t>
            </w:r>
            <w:r>
              <w:rPr>
                <w:rFonts w:hint="eastAsia" w:ascii="Times New Roman" w:hAnsi="Times New Roman" w:eastAsia="宋体" w:cs="Times New Roman"/>
                <w:highlight w:val="none"/>
                <w:lang w:val="en-US" w:eastAsia="zh-CN"/>
              </w:rPr>
              <w:t>分；</w:t>
            </w:r>
          </w:p>
          <w:p w14:paraId="429A7F66">
            <w:pPr>
              <w:keepNext w:val="0"/>
              <w:keepLines w:val="0"/>
              <w:pageBreakBefore w:val="0"/>
              <w:spacing w:line="240" w:lineRule="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（5）对于项目需求理解一般、整体方案一般的得</w:t>
            </w:r>
            <w:r>
              <w:rPr>
                <w:rFonts w:hint="eastAsia" w:cs="Times New Roman"/>
                <w:highlight w:val="none"/>
                <w:lang w:val="en-US" w:eastAsia="zh-CN"/>
              </w:rPr>
              <w:t>6</w:t>
            </w:r>
            <w:r>
              <w:rPr>
                <w:rFonts w:hint="eastAsia" w:ascii="Times New Roman" w:hAnsi="Times New Roman" w:eastAsia="宋体" w:cs="Times New Roman"/>
                <w:highlight w:val="none"/>
                <w:lang w:val="en-US" w:eastAsia="zh-CN"/>
              </w:rPr>
              <w:t>分；</w:t>
            </w:r>
          </w:p>
          <w:p w14:paraId="7AF3BE75">
            <w:pPr>
              <w:keepNext w:val="0"/>
              <w:keepLines w:val="0"/>
              <w:pageBreakBefore w:val="0"/>
              <w:spacing w:line="240" w:lineRule="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（6）对于项目需求理解较差、整体内容较差的得</w:t>
            </w:r>
            <w:r>
              <w:rPr>
                <w:rFonts w:hint="eastAsia" w:cs="Times New Roman"/>
                <w:highlight w:val="none"/>
                <w:lang w:val="en-US" w:eastAsia="zh-CN"/>
              </w:rPr>
              <w:t>3</w:t>
            </w:r>
            <w:r>
              <w:rPr>
                <w:rFonts w:hint="eastAsia" w:ascii="Times New Roman" w:hAnsi="Times New Roman" w:eastAsia="宋体" w:cs="Times New Roman"/>
                <w:highlight w:val="none"/>
                <w:lang w:val="en-US" w:eastAsia="zh-CN"/>
              </w:rPr>
              <w:t>分；</w:t>
            </w:r>
          </w:p>
          <w:p w14:paraId="69CE2725">
            <w:pPr>
              <w:keepNext w:val="0"/>
              <w:keepLines w:val="0"/>
              <w:pageBreakBefore w:val="0"/>
              <w:spacing w:line="240" w:lineRule="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（7）未提供方案不得分。</w:t>
            </w:r>
          </w:p>
          <w:p w14:paraId="0319E3FE">
            <w:pPr>
              <w:pStyle w:val="61"/>
              <w:ind w:left="0" w:leftChars="0" w:firstLine="0" w:firstLineChars="0"/>
              <w:rPr>
                <w:rFonts w:hint="eastAsia" w:eastAsia="宋体"/>
                <w:color w:val="auto"/>
                <w:highlight w:val="none"/>
                <w:lang w:val="en-US" w:eastAsia="zh-CN"/>
              </w:rPr>
            </w:pPr>
            <w:r>
              <w:rPr>
                <w:rFonts w:hint="eastAsia" w:ascii="宋体" w:hAnsi="宋体" w:cs="宋体"/>
                <w:b/>
                <w:bCs w:val="0"/>
                <w:color w:val="auto"/>
                <w:szCs w:val="21"/>
                <w:highlight w:val="none"/>
                <w:lang w:eastAsia="zh-CN"/>
              </w:rPr>
              <w:t>（注意：方案内容应与分包服务内容相适应，至少包括抽样检测、</w:t>
            </w:r>
            <w:r>
              <w:rPr>
                <w:rFonts w:hint="eastAsia" w:ascii="宋体" w:hAnsi="宋体" w:cs="宋体"/>
                <w:b/>
                <w:bCs w:val="0"/>
                <w:color w:val="auto"/>
                <w:szCs w:val="21"/>
                <w:highlight w:val="none"/>
                <w:lang w:val="en-US" w:eastAsia="zh-CN"/>
              </w:rPr>
              <w:t>结果验证</w:t>
            </w:r>
            <w:r>
              <w:rPr>
                <w:rFonts w:hint="eastAsia" w:ascii="宋体" w:hAnsi="宋体" w:cs="宋体"/>
                <w:b/>
                <w:bCs w:val="0"/>
                <w:color w:val="auto"/>
                <w:szCs w:val="21"/>
                <w:highlight w:val="none"/>
                <w:lang w:eastAsia="zh-CN"/>
              </w:rPr>
              <w:t>、数据分析、票证分析等，可从人员配备、工作计划、服务措施、技能培训、本地服务特色等方面阐述，方案内容应详实、全面）</w:t>
            </w:r>
          </w:p>
        </w:tc>
        <w:tc>
          <w:tcPr>
            <w:tcW w:w="746" w:type="dxa"/>
            <w:tcBorders>
              <w:top w:val="single" w:color="auto" w:sz="4" w:space="0"/>
              <w:left w:val="single" w:color="auto" w:sz="4" w:space="0"/>
              <w:bottom w:val="single" w:color="auto" w:sz="4" w:space="0"/>
              <w:right w:val="single" w:color="auto" w:sz="4" w:space="0"/>
            </w:tcBorders>
            <w:noWrap w:val="0"/>
            <w:vAlign w:val="center"/>
          </w:tcPr>
          <w:p w14:paraId="709C84FD">
            <w:pPr>
              <w:keepNext w:val="0"/>
              <w:keepLines w:val="0"/>
              <w:pageBreakBefore w:val="0"/>
              <w:widowControl/>
              <w:spacing w:line="360" w:lineRule="auto"/>
              <w:jc w:val="center"/>
              <w:rPr>
                <w:rFonts w:hint="default" w:ascii="宋体" w:hAnsi="宋体" w:eastAsia="宋体" w:cs="宋体"/>
                <w:b/>
                <w:bCs/>
                <w:color w:val="auto"/>
                <w:sz w:val="21"/>
                <w:szCs w:val="21"/>
                <w:highlight w:val="none"/>
                <w:lang w:val="en-US" w:eastAsia="zh-CN" w:bidi="ar-SA"/>
              </w:rPr>
            </w:pPr>
            <w:r>
              <w:rPr>
                <w:rFonts w:hint="eastAsia" w:ascii="宋体" w:hAnsi="宋体" w:cs="宋体"/>
                <w:b/>
                <w:bCs/>
                <w:color w:val="auto"/>
                <w:sz w:val="21"/>
                <w:szCs w:val="21"/>
                <w:highlight w:val="none"/>
                <w:lang w:val="en-US" w:eastAsia="zh-CN"/>
              </w:rPr>
              <w:t>18</w:t>
            </w:r>
          </w:p>
        </w:tc>
      </w:tr>
      <w:tr w14:paraId="6CE87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14:paraId="4A7A88C5">
            <w:pPr>
              <w:keepNext w:val="0"/>
              <w:keepLines w:val="0"/>
              <w:pageBreakBefore w:val="0"/>
              <w:spacing w:line="24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w:t>
            </w:r>
            <w:r>
              <w:rPr>
                <w:rFonts w:hint="eastAsia" w:ascii="宋体" w:hAnsi="宋体" w:cs="宋体"/>
                <w:b/>
                <w:bCs/>
                <w:color w:val="auto"/>
                <w:sz w:val="21"/>
                <w:szCs w:val="21"/>
                <w:highlight w:val="none"/>
                <w:lang w:val="en-US" w:eastAsia="zh-CN"/>
              </w:rPr>
              <w:t>2</w:t>
            </w:r>
          </w:p>
        </w:tc>
        <w:tc>
          <w:tcPr>
            <w:tcW w:w="1125" w:type="dxa"/>
            <w:vMerge w:val="continue"/>
            <w:tcBorders>
              <w:left w:val="single" w:color="auto" w:sz="4" w:space="0"/>
              <w:right w:val="single" w:color="auto" w:sz="4" w:space="0"/>
            </w:tcBorders>
            <w:noWrap w:val="0"/>
            <w:vAlign w:val="center"/>
          </w:tcPr>
          <w:p w14:paraId="787D115C">
            <w:pPr>
              <w:keepNext w:val="0"/>
              <w:keepLines w:val="0"/>
              <w:pageBreakBefore w:val="0"/>
              <w:spacing w:line="240" w:lineRule="auto"/>
              <w:jc w:val="center"/>
              <w:rPr>
                <w:rFonts w:hint="eastAsia" w:ascii="宋体" w:hAnsi="宋体" w:eastAsia="宋体" w:cs="宋体"/>
                <w:b/>
                <w:bCs/>
                <w:color w:val="auto"/>
                <w:sz w:val="21"/>
                <w:szCs w:val="21"/>
                <w:highlight w:val="none"/>
                <w:lang w:eastAsia="zh-CN"/>
              </w:rPr>
            </w:pPr>
          </w:p>
        </w:tc>
        <w:tc>
          <w:tcPr>
            <w:tcW w:w="7195" w:type="dxa"/>
            <w:tcBorders>
              <w:top w:val="single" w:color="auto" w:sz="4" w:space="0"/>
              <w:left w:val="single" w:color="auto" w:sz="4" w:space="0"/>
              <w:bottom w:val="single" w:color="auto" w:sz="4" w:space="0"/>
              <w:right w:val="single" w:color="auto" w:sz="4" w:space="0"/>
            </w:tcBorders>
            <w:noWrap w:val="0"/>
            <w:vAlign w:val="center"/>
          </w:tcPr>
          <w:p w14:paraId="2884460B">
            <w:pPr>
              <w:pStyle w:val="194"/>
              <w:keepNext w:val="0"/>
              <w:keepLines w:val="0"/>
              <w:pageBreakBefore w:val="0"/>
              <w:widowControl/>
              <w:spacing w:after="0" w:line="300" w:lineRule="exact"/>
              <w:ind w:left="0" w:leftChars="0" w:firstLine="0" w:firstLineChars="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供应商需具备配合采购人在辖区内开展重点业态点检等应急服务能力。根据供应商提供的应急响应和处置的操作方案，明确响应时间、人员配置、车辆保障、成效保障等内容，根据应急响应时间的快捷性、便利性，人员车辆保障的合理性、充分性，评估效果的先进性、完善性等进行评分：</w:t>
            </w:r>
          </w:p>
          <w:p w14:paraId="4D6365BE">
            <w:pPr>
              <w:keepNext w:val="0"/>
              <w:keepLines w:val="0"/>
              <w:pageBreakBefore w:val="0"/>
              <w:spacing w:line="240" w:lineRule="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（1）响应迅速、配置合理、保障到位、评估完善的，得12分；</w:t>
            </w:r>
          </w:p>
          <w:p w14:paraId="112A4D0F">
            <w:pPr>
              <w:keepNext w:val="0"/>
              <w:keepLines w:val="0"/>
              <w:pageBreakBefore w:val="0"/>
              <w:spacing w:line="240" w:lineRule="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（2）响应较迅速、配置较合理、保障基本到位、评估较完善的，得9分；</w:t>
            </w:r>
          </w:p>
          <w:p w14:paraId="300182E1">
            <w:pPr>
              <w:keepNext w:val="0"/>
              <w:keepLines w:val="0"/>
              <w:pageBreakBefore w:val="0"/>
              <w:spacing w:line="240" w:lineRule="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（3）响应较慢、人员车辆配置及保障一般、成效保障一般的，得6分；</w:t>
            </w:r>
          </w:p>
          <w:p w14:paraId="490CE8B6">
            <w:pPr>
              <w:keepNext w:val="0"/>
              <w:keepLines w:val="0"/>
              <w:pageBreakBefore w:val="0"/>
              <w:spacing w:line="240" w:lineRule="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（4）响应缓慢、人员车辆配置、成效保障相对较差的，得3分；</w:t>
            </w:r>
          </w:p>
          <w:p w14:paraId="304214B6">
            <w:pPr>
              <w:keepNext w:val="0"/>
              <w:keepLines w:val="0"/>
              <w:pageBreakBefore w:val="0"/>
              <w:spacing w:line="240" w:lineRule="auto"/>
              <w:rPr>
                <w:rFonts w:hint="eastAsia" w:ascii="宋体" w:hAnsi="宋体" w:eastAsia="宋体" w:cs="宋体"/>
                <w:b w:val="0"/>
                <w:bCs w:val="0"/>
                <w:color w:val="auto"/>
                <w:sz w:val="21"/>
                <w:szCs w:val="21"/>
                <w:highlight w:val="none"/>
                <w:lang w:val="en-US" w:eastAsia="zh-CN" w:bidi="ar-SA"/>
              </w:rPr>
            </w:pPr>
            <w:r>
              <w:rPr>
                <w:rFonts w:hint="eastAsia" w:ascii="Times New Roman" w:hAnsi="Times New Roman" w:eastAsia="宋体" w:cs="Times New Roman"/>
                <w:highlight w:val="none"/>
                <w:lang w:val="en-US" w:eastAsia="zh-CN"/>
              </w:rPr>
              <w:t>（5）未提供方案的不得分。</w:t>
            </w:r>
          </w:p>
        </w:tc>
        <w:tc>
          <w:tcPr>
            <w:tcW w:w="746" w:type="dxa"/>
            <w:tcBorders>
              <w:top w:val="single" w:color="auto" w:sz="4" w:space="0"/>
              <w:left w:val="single" w:color="auto" w:sz="4" w:space="0"/>
              <w:bottom w:val="single" w:color="auto" w:sz="4" w:space="0"/>
              <w:right w:val="single" w:color="auto" w:sz="4" w:space="0"/>
            </w:tcBorders>
            <w:noWrap w:val="0"/>
            <w:vAlign w:val="center"/>
          </w:tcPr>
          <w:p w14:paraId="25FCEA0C">
            <w:pPr>
              <w:keepNext w:val="0"/>
              <w:keepLines w:val="0"/>
              <w:pageBreakBefore w:val="0"/>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cs="宋体"/>
                <w:b/>
                <w:bCs/>
                <w:color w:val="auto"/>
                <w:sz w:val="21"/>
                <w:szCs w:val="21"/>
                <w:highlight w:val="none"/>
                <w:lang w:val="en-US" w:eastAsia="zh-CN"/>
              </w:rPr>
              <w:t>12</w:t>
            </w:r>
          </w:p>
        </w:tc>
      </w:tr>
      <w:tr w14:paraId="35D01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14:paraId="293D217E">
            <w:pPr>
              <w:keepNext w:val="0"/>
              <w:keepLines w:val="0"/>
              <w:pageBreakBefore w:val="0"/>
              <w:spacing w:line="240" w:lineRule="auto"/>
              <w:jc w:val="center"/>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4.3</w:t>
            </w:r>
          </w:p>
        </w:tc>
        <w:tc>
          <w:tcPr>
            <w:tcW w:w="1125" w:type="dxa"/>
            <w:vMerge w:val="continue"/>
            <w:tcBorders>
              <w:left w:val="single" w:color="auto" w:sz="4" w:space="0"/>
              <w:right w:val="single" w:color="auto" w:sz="4" w:space="0"/>
            </w:tcBorders>
            <w:noWrap w:val="0"/>
            <w:vAlign w:val="center"/>
          </w:tcPr>
          <w:p w14:paraId="4BD06BBE">
            <w:pPr>
              <w:keepNext w:val="0"/>
              <w:keepLines w:val="0"/>
              <w:pageBreakBefore w:val="0"/>
              <w:spacing w:line="240" w:lineRule="auto"/>
              <w:jc w:val="center"/>
              <w:rPr>
                <w:rFonts w:hint="eastAsia" w:ascii="宋体" w:hAnsi="宋体" w:eastAsia="宋体" w:cs="宋体"/>
                <w:b/>
                <w:bCs/>
                <w:color w:val="auto"/>
                <w:sz w:val="21"/>
                <w:szCs w:val="21"/>
                <w:highlight w:val="none"/>
                <w:lang w:eastAsia="zh-CN"/>
              </w:rPr>
            </w:pPr>
          </w:p>
        </w:tc>
        <w:tc>
          <w:tcPr>
            <w:tcW w:w="7195" w:type="dxa"/>
            <w:tcBorders>
              <w:top w:val="single" w:color="auto" w:sz="4" w:space="0"/>
              <w:left w:val="single" w:color="auto" w:sz="4" w:space="0"/>
              <w:bottom w:val="single" w:color="auto" w:sz="4" w:space="0"/>
              <w:right w:val="single" w:color="auto" w:sz="4" w:space="0"/>
            </w:tcBorders>
            <w:noWrap w:val="0"/>
            <w:vAlign w:val="center"/>
          </w:tcPr>
          <w:p w14:paraId="1713685B">
            <w:pPr>
              <w:pStyle w:val="194"/>
              <w:keepNext w:val="0"/>
              <w:keepLines w:val="0"/>
              <w:pageBreakBefore w:val="0"/>
              <w:widowControl/>
              <w:spacing w:after="0" w:line="300" w:lineRule="exact"/>
              <w:ind w:left="0" w:leftChars="0" w:firstLine="0" w:firstLineChars="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根据供应商提供的售后服务方案内容、措施及承诺，从快速检测试剂的保障能力、仪器设备的维护能力、检测团队的管理能力、售后服务的响应能力等方面综合比较打分：</w:t>
            </w:r>
          </w:p>
          <w:p w14:paraId="4E71DBEC">
            <w:pPr>
              <w:keepNext w:val="0"/>
              <w:keepLines w:val="0"/>
              <w:pageBreakBefore w:val="0"/>
              <w:spacing w:line="240" w:lineRule="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（1）方案全面，科学合理，操作可行，针对性强，得12分；</w:t>
            </w:r>
          </w:p>
          <w:p w14:paraId="37BC8C1A">
            <w:pPr>
              <w:keepNext w:val="0"/>
              <w:keepLines w:val="0"/>
              <w:pageBreakBefore w:val="0"/>
              <w:spacing w:line="240" w:lineRule="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（2）方案基本全面，有一定合理性、可操作性、针对性的，得9分；</w:t>
            </w:r>
          </w:p>
          <w:p w14:paraId="676E66D5">
            <w:pPr>
              <w:keepNext w:val="0"/>
              <w:keepLines w:val="0"/>
              <w:pageBreakBefore w:val="0"/>
              <w:spacing w:line="240" w:lineRule="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（3）方案基本全面，合理性、可操作性、针对性欠缺的，得6分；</w:t>
            </w:r>
          </w:p>
          <w:p w14:paraId="105B1C98">
            <w:pPr>
              <w:keepNext w:val="0"/>
              <w:keepLines w:val="0"/>
              <w:pageBreakBefore w:val="0"/>
              <w:spacing w:line="240" w:lineRule="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（4）方案基本全面，合理性、可操作性、针对性较差的，得3分；</w:t>
            </w:r>
          </w:p>
          <w:p w14:paraId="5E45C15D">
            <w:pPr>
              <w:keepNext w:val="0"/>
              <w:keepLines w:val="0"/>
              <w:pageBreakBefore w:val="0"/>
              <w:spacing w:line="240" w:lineRule="auto"/>
              <w:rPr>
                <w:rFonts w:hint="eastAsia" w:ascii="宋体" w:hAnsi="宋体" w:eastAsia="宋体" w:cs="宋体"/>
                <w:b w:val="0"/>
                <w:bCs w:val="0"/>
                <w:color w:val="auto"/>
                <w:sz w:val="21"/>
                <w:szCs w:val="21"/>
                <w:highlight w:val="none"/>
                <w:lang w:val="en-US" w:eastAsia="zh-CN"/>
              </w:rPr>
            </w:pPr>
            <w:r>
              <w:rPr>
                <w:rFonts w:hint="eastAsia" w:ascii="Times New Roman" w:hAnsi="Times New Roman" w:eastAsia="宋体" w:cs="Times New Roman"/>
                <w:highlight w:val="none"/>
                <w:lang w:val="en-US" w:eastAsia="zh-CN"/>
              </w:rPr>
              <w:t>（5）未提供方案不得分。</w:t>
            </w:r>
          </w:p>
        </w:tc>
        <w:tc>
          <w:tcPr>
            <w:tcW w:w="746" w:type="dxa"/>
            <w:tcBorders>
              <w:top w:val="single" w:color="auto" w:sz="4" w:space="0"/>
              <w:left w:val="single" w:color="auto" w:sz="4" w:space="0"/>
              <w:bottom w:val="single" w:color="auto" w:sz="4" w:space="0"/>
              <w:right w:val="single" w:color="auto" w:sz="4" w:space="0"/>
            </w:tcBorders>
            <w:noWrap w:val="0"/>
            <w:vAlign w:val="center"/>
          </w:tcPr>
          <w:p w14:paraId="58BB4AD8">
            <w:pPr>
              <w:pStyle w:val="194"/>
              <w:keepNext w:val="0"/>
              <w:keepLines w:val="0"/>
              <w:pageBreakBefore w:val="0"/>
              <w:spacing w:line="360" w:lineRule="auto"/>
              <w:ind w:left="0" w:leftChars="0" w:firstLine="0" w:firstLineChars="0"/>
              <w:jc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12</w:t>
            </w:r>
          </w:p>
        </w:tc>
      </w:tr>
      <w:tr w14:paraId="0F03B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14:paraId="011254FB">
            <w:pPr>
              <w:keepNext w:val="0"/>
              <w:keepLines w:val="0"/>
              <w:pageBreakBefore w:val="0"/>
              <w:spacing w:line="24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4.4</w:t>
            </w:r>
          </w:p>
        </w:tc>
        <w:tc>
          <w:tcPr>
            <w:tcW w:w="1125" w:type="dxa"/>
            <w:vMerge w:val="continue"/>
            <w:tcBorders>
              <w:left w:val="single" w:color="auto" w:sz="4" w:space="0"/>
              <w:right w:val="single" w:color="auto" w:sz="4" w:space="0"/>
            </w:tcBorders>
            <w:noWrap w:val="0"/>
            <w:vAlign w:val="center"/>
          </w:tcPr>
          <w:p w14:paraId="392B8283">
            <w:pPr>
              <w:keepNext w:val="0"/>
              <w:keepLines w:val="0"/>
              <w:pageBreakBefore w:val="0"/>
              <w:spacing w:line="240" w:lineRule="auto"/>
              <w:jc w:val="center"/>
              <w:rPr>
                <w:rFonts w:hint="eastAsia" w:ascii="宋体" w:hAnsi="宋体" w:eastAsia="宋体" w:cs="宋体"/>
                <w:b/>
                <w:bCs/>
                <w:color w:val="auto"/>
                <w:sz w:val="21"/>
                <w:szCs w:val="21"/>
                <w:highlight w:val="none"/>
                <w:lang w:eastAsia="zh-CN"/>
              </w:rPr>
            </w:pPr>
          </w:p>
        </w:tc>
        <w:tc>
          <w:tcPr>
            <w:tcW w:w="7195" w:type="dxa"/>
            <w:tcBorders>
              <w:top w:val="single" w:color="auto" w:sz="4" w:space="0"/>
              <w:left w:val="single" w:color="auto" w:sz="4" w:space="0"/>
              <w:bottom w:val="single" w:color="auto" w:sz="4" w:space="0"/>
              <w:right w:val="single" w:color="auto" w:sz="4" w:space="0"/>
            </w:tcBorders>
            <w:noWrap w:val="0"/>
            <w:vAlign w:val="center"/>
          </w:tcPr>
          <w:p w14:paraId="4B3D0EA5">
            <w:pPr>
              <w:keepNext w:val="0"/>
              <w:keepLines w:val="0"/>
              <w:pageBreakBefore w:val="0"/>
              <w:spacing w:line="240" w:lineRule="auto"/>
              <w:rPr>
                <w:rFonts w:hint="eastAsia" w:ascii="Times New Roman" w:hAnsi="Times New Roman" w:eastAsia="宋体" w:cs="Times New Roman"/>
                <w:highlight w:val="none"/>
                <w:lang w:val="en-US" w:eastAsia="zh-CN"/>
              </w:rPr>
            </w:pPr>
            <w:r>
              <w:rPr>
                <w:rFonts w:hint="eastAsia" w:ascii="宋体" w:hAnsi="宋体" w:eastAsia="宋体" w:cs="宋体"/>
                <w:b/>
                <w:bCs/>
                <w:color w:val="auto"/>
                <w:sz w:val="21"/>
                <w:szCs w:val="21"/>
                <w:highlight w:val="none"/>
                <w:lang w:val="en-US" w:eastAsia="zh-CN"/>
              </w:rPr>
              <w:t>根据供应商提供的其他伴随、增值服务等优劣情况进行对比打分：</w:t>
            </w:r>
            <w:r>
              <w:rPr>
                <w:rFonts w:hint="eastAsia" w:ascii="宋体" w:hAnsi="宋体" w:eastAsia="宋体" w:cs="宋体"/>
                <w:b w:val="0"/>
                <w:bCs w:val="0"/>
                <w:color w:val="auto"/>
                <w:sz w:val="21"/>
                <w:szCs w:val="21"/>
                <w:highlight w:val="none"/>
                <w:lang w:val="en-US" w:eastAsia="zh-CN"/>
              </w:rPr>
              <w:br w:type="textWrapping"/>
            </w:r>
            <w:r>
              <w:rPr>
                <w:rFonts w:hint="eastAsia" w:ascii="Times New Roman" w:hAnsi="Times New Roman" w:eastAsia="宋体" w:cs="Times New Roman"/>
                <w:highlight w:val="none"/>
                <w:lang w:val="en-US" w:eastAsia="zh-CN"/>
              </w:rPr>
              <w:t>（1）方案全面，科学合理、操作可行、针对性强，得8分；</w:t>
            </w:r>
          </w:p>
          <w:p w14:paraId="2A3E858D">
            <w:pPr>
              <w:keepNext w:val="0"/>
              <w:keepLines w:val="0"/>
              <w:pageBreakBefore w:val="0"/>
              <w:spacing w:line="240" w:lineRule="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（2）方案基本全面，有一定合理性、可操作性、针对性的，得6分；</w:t>
            </w:r>
          </w:p>
          <w:p w14:paraId="7359F6BD">
            <w:pPr>
              <w:keepNext w:val="0"/>
              <w:keepLines w:val="0"/>
              <w:pageBreakBefore w:val="0"/>
              <w:spacing w:line="240" w:lineRule="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（3）方案全面性、合理性、可操作性、针对性一般的，得4分；</w:t>
            </w:r>
          </w:p>
          <w:p w14:paraId="767E15DA">
            <w:pPr>
              <w:keepNext w:val="0"/>
              <w:keepLines w:val="0"/>
              <w:pageBreakBefore w:val="0"/>
              <w:spacing w:line="240" w:lineRule="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（4）方案全面性、合理性、可操作性、针对性较差的，得2分；</w:t>
            </w:r>
          </w:p>
          <w:p w14:paraId="072E8893">
            <w:pPr>
              <w:keepNext w:val="0"/>
              <w:keepLines w:val="0"/>
              <w:pageBreakBefore w:val="0"/>
              <w:spacing w:line="240" w:lineRule="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（5）未提供方案不得分。</w:t>
            </w:r>
          </w:p>
          <w:p w14:paraId="7A753F5B">
            <w:pPr>
              <w:pStyle w:val="194"/>
              <w:keepNext w:val="0"/>
              <w:keepLines w:val="0"/>
              <w:pageBreakBefore w:val="0"/>
              <w:widowControl/>
              <w:spacing w:after="0" w:line="300" w:lineRule="exact"/>
              <w:ind w:left="0" w:leftChars="0" w:firstLine="0" w:firstLineChars="0"/>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（其他伴随、增值服务可提供工作方案、往期案例等，作为经验佐证材料，佐证材料应有甲方对其服务评价证明材料）</w:t>
            </w:r>
          </w:p>
        </w:tc>
        <w:tc>
          <w:tcPr>
            <w:tcW w:w="746" w:type="dxa"/>
            <w:tcBorders>
              <w:top w:val="single" w:color="auto" w:sz="4" w:space="0"/>
              <w:left w:val="single" w:color="auto" w:sz="4" w:space="0"/>
              <w:bottom w:val="single" w:color="auto" w:sz="4" w:space="0"/>
              <w:right w:val="single" w:color="auto" w:sz="4" w:space="0"/>
            </w:tcBorders>
            <w:noWrap w:val="0"/>
            <w:vAlign w:val="center"/>
          </w:tcPr>
          <w:p w14:paraId="0D25B18F">
            <w:pPr>
              <w:pStyle w:val="194"/>
              <w:keepNext w:val="0"/>
              <w:keepLines w:val="0"/>
              <w:pageBreakBefore w:val="0"/>
              <w:spacing w:line="360" w:lineRule="auto"/>
              <w:ind w:left="0" w:leftChars="0" w:firstLine="0" w:firstLineChars="0"/>
              <w:jc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8</w:t>
            </w:r>
          </w:p>
        </w:tc>
      </w:tr>
      <w:tr w14:paraId="51E76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14:paraId="405F72A9">
            <w:pPr>
              <w:keepNext w:val="0"/>
              <w:keepLines w:val="0"/>
              <w:pageBreakBefore w:val="0"/>
              <w:widowControl/>
              <w:spacing w:line="240" w:lineRule="auto"/>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5</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6F2D38BC">
            <w:pPr>
              <w:keepNext w:val="0"/>
              <w:keepLines w:val="0"/>
              <w:pageBreakBefore w:val="0"/>
              <w:widowControl/>
              <w:spacing w:line="24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业绩</w:t>
            </w:r>
          </w:p>
          <w:p w14:paraId="30692351">
            <w:pPr>
              <w:keepNext w:val="0"/>
              <w:keepLines w:val="0"/>
              <w:pageBreakBefore w:val="0"/>
              <w:widowControl/>
              <w:spacing w:line="240" w:lineRule="auto"/>
              <w:jc w:val="center"/>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lang w:val="en-US" w:eastAsia="zh-CN"/>
              </w:rPr>
              <w:t>分</w:t>
            </w:r>
          </w:p>
        </w:tc>
        <w:tc>
          <w:tcPr>
            <w:tcW w:w="7195" w:type="dxa"/>
            <w:tcBorders>
              <w:top w:val="single" w:color="auto" w:sz="4" w:space="0"/>
              <w:left w:val="single" w:color="auto" w:sz="4" w:space="0"/>
              <w:bottom w:val="single" w:color="auto" w:sz="4" w:space="0"/>
              <w:right w:val="single" w:color="auto" w:sz="4" w:space="0"/>
            </w:tcBorders>
            <w:noWrap w:val="0"/>
            <w:vAlign w:val="center"/>
          </w:tcPr>
          <w:p w14:paraId="4A2EC9D1">
            <w:pPr>
              <w:keepNext w:val="0"/>
              <w:keepLines w:val="0"/>
              <w:pageBreakBefore w:val="0"/>
              <w:spacing w:line="240" w:lineRule="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zh-CN" w:eastAsia="zh-CN"/>
              </w:rPr>
              <w:t>供应商20</w:t>
            </w:r>
            <w:r>
              <w:rPr>
                <w:rFonts w:hint="eastAsia" w:ascii="Times New Roman" w:hAnsi="Times New Roman" w:eastAsia="宋体" w:cs="Times New Roman"/>
                <w:highlight w:val="none"/>
                <w:lang w:val="en-US" w:eastAsia="zh-CN"/>
              </w:rPr>
              <w:t>23</w:t>
            </w:r>
            <w:r>
              <w:rPr>
                <w:rFonts w:hint="eastAsia" w:ascii="Times New Roman" w:hAnsi="Times New Roman" w:eastAsia="宋体" w:cs="Times New Roman"/>
                <w:highlight w:val="none"/>
                <w:lang w:val="zh-CN" w:eastAsia="zh-CN"/>
              </w:rPr>
              <w:t>年1月1日以来完成的类似项目业绩</w:t>
            </w:r>
            <w:r>
              <w:rPr>
                <w:rFonts w:hint="eastAsia" w:ascii="Times New Roman" w:hAnsi="Times New Roman" w:eastAsia="宋体" w:cs="Times New Roman"/>
                <w:highlight w:val="none"/>
                <w:lang w:val="en-US" w:eastAsia="zh-CN"/>
              </w:rPr>
              <w:t>，承担过快检室（含区域快检室</w:t>
            </w:r>
            <w:r>
              <w:rPr>
                <w:rFonts w:hint="eastAsia" w:cs="Times New Roman"/>
                <w:highlight w:val="none"/>
                <w:lang w:val="en-US" w:eastAsia="zh-CN"/>
              </w:rPr>
              <w:t>或</w:t>
            </w:r>
            <w:r>
              <w:rPr>
                <w:rFonts w:hint="eastAsia" w:ascii="Times New Roman" w:hAnsi="Times New Roman" w:eastAsia="宋体" w:cs="Times New Roman"/>
                <w:highlight w:val="none"/>
                <w:lang w:val="en-US" w:eastAsia="zh-CN"/>
              </w:rPr>
              <w:t>农贸市场快检室</w:t>
            </w:r>
            <w:r>
              <w:rPr>
                <w:rFonts w:hint="eastAsia"/>
                <w:color w:val="auto"/>
                <w:highlight w:val="none"/>
                <w:lang w:val="en-US" w:eastAsia="zh-CN"/>
              </w:rPr>
              <w:t>）</w:t>
            </w:r>
            <w:r>
              <w:rPr>
                <w:rFonts w:hint="eastAsia" w:ascii="Times New Roman" w:hAnsi="Times New Roman" w:eastAsia="宋体" w:cs="Times New Roman"/>
                <w:highlight w:val="none"/>
                <w:lang w:val="en-US" w:eastAsia="zh-CN"/>
              </w:rPr>
              <w:t>的每个业绩得</w:t>
            </w:r>
            <w:r>
              <w:rPr>
                <w:rFonts w:hint="eastAsia" w:cs="Times New Roman"/>
                <w:highlight w:val="none"/>
                <w:lang w:val="en-US" w:eastAsia="zh-CN"/>
              </w:rPr>
              <w:t>2</w:t>
            </w:r>
            <w:r>
              <w:rPr>
                <w:rFonts w:hint="eastAsia" w:ascii="Times New Roman" w:hAnsi="Times New Roman" w:eastAsia="宋体" w:cs="Times New Roman"/>
                <w:highlight w:val="none"/>
                <w:lang w:val="en-US" w:eastAsia="zh-CN"/>
              </w:rPr>
              <w:t>分，该项最多得</w:t>
            </w:r>
            <w:r>
              <w:rPr>
                <w:rFonts w:hint="eastAsia" w:cs="Times New Roman"/>
                <w:highlight w:val="none"/>
                <w:lang w:val="en-US" w:eastAsia="zh-CN"/>
              </w:rPr>
              <w:t>10</w:t>
            </w:r>
            <w:r>
              <w:rPr>
                <w:rFonts w:hint="eastAsia" w:ascii="Times New Roman" w:hAnsi="Times New Roman" w:eastAsia="宋体" w:cs="Times New Roman"/>
                <w:highlight w:val="none"/>
                <w:lang w:val="en-US" w:eastAsia="zh-CN"/>
              </w:rPr>
              <w:t>分。</w:t>
            </w:r>
          </w:p>
          <w:p w14:paraId="29C7987B">
            <w:pPr>
              <w:keepNext w:val="0"/>
              <w:keepLines w:val="0"/>
              <w:pageBreakBefore w:val="0"/>
              <w:widowControl/>
              <w:spacing w:line="240"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（提供运维合同复印件</w:t>
            </w:r>
            <w:r>
              <w:rPr>
                <w:rFonts w:hint="eastAsia" w:ascii="宋体" w:hAnsi="宋体" w:eastAsia="宋体" w:cs="宋体"/>
                <w:b/>
                <w:bCs/>
                <w:color w:val="auto"/>
                <w:sz w:val="21"/>
                <w:szCs w:val="21"/>
                <w:highlight w:val="none"/>
                <w:lang w:val="en-US" w:eastAsia="zh-CN"/>
              </w:rPr>
              <w:t>加盖公章</w:t>
            </w:r>
            <w:r>
              <w:rPr>
                <w:rFonts w:hint="eastAsia" w:ascii="宋体" w:hAnsi="宋体" w:eastAsia="宋体" w:cs="宋体"/>
                <w:b/>
                <w:bCs/>
                <w:color w:val="auto"/>
                <w:sz w:val="21"/>
                <w:szCs w:val="21"/>
                <w:highlight w:val="none"/>
              </w:rPr>
              <w:t>,及</w:t>
            </w:r>
            <w:r>
              <w:rPr>
                <w:rFonts w:hint="eastAsia" w:ascii="宋体" w:hAnsi="宋体" w:eastAsia="宋体" w:cs="宋体"/>
                <w:b/>
                <w:bCs/>
                <w:color w:val="auto"/>
                <w:sz w:val="21"/>
                <w:szCs w:val="21"/>
                <w:highlight w:val="none"/>
                <w:lang w:val="zh-CN"/>
              </w:rPr>
              <w:t>联系人、联系电话以供查验，</w:t>
            </w:r>
            <w:r>
              <w:rPr>
                <w:rFonts w:hint="eastAsia" w:ascii="宋体" w:hAnsi="宋体" w:eastAsia="宋体" w:cs="宋体"/>
                <w:b/>
                <w:bCs/>
                <w:color w:val="auto"/>
                <w:sz w:val="21"/>
                <w:szCs w:val="21"/>
                <w:highlight w:val="none"/>
                <w:lang w:val="en-US" w:eastAsia="zh-CN"/>
              </w:rPr>
              <w:t>原件备查</w:t>
            </w:r>
            <w:r>
              <w:rPr>
                <w:rFonts w:hint="eastAsia" w:ascii="宋体" w:hAnsi="宋体" w:cs="宋体"/>
                <w:b/>
                <w:bCs/>
                <w:color w:val="auto"/>
                <w:sz w:val="21"/>
                <w:szCs w:val="21"/>
                <w:highlight w:val="none"/>
                <w:lang w:val="en-US" w:eastAsia="zh-CN"/>
              </w:rPr>
              <w:t>，</w:t>
            </w:r>
            <w:r>
              <w:rPr>
                <w:rFonts w:hint="eastAsia" w:ascii="宋体" w:hAnsi="宋体" w:cs="宋体"/>
                <w:b/>
                <w:bCs/>
                <w:color w:val="auto"/>
                <w:sz w:val="21"/>
                <w:szCs w:val="21"/>
                <w:highlight w:val="none"/>
                <w:lang w:eastAsia="zh-CN"/>
              </w:rPr>
              <w:t>时间以合同签订时间为准</w:t>
            </w:r>
            <w:r>
              <w:rPr>
                <w:rFonts w:hint="eastAsia" w:ascii="宋体" w:hAnsi="宋体" w:eastAsia="宋体" w:cs="宋体"/>
                <w:b/>
                <w:bCs/>
                <w:color w:val="auto"/>
                <w:sz w:val="21"/>
                <w:szCs w:val="21"/>
                <w:highlight w:val="none"/>
              </w:rPr>
              <w:t>）</w:t>
            </w:r>
          </w:p>
        </w:tc>
        <w:tc>
          <w:tcPr>
            <w:tcW w:w="746" w:type="dxa"/>
            <w:tcBorders>
              <w:top w:val="single" w:color="auto" w:sz="4" w:space="0"/>
              <w:left w:val="single" w:color="auto" w:sz="4" w:space="0"/>
              <w:bottom w:val="single" w:color="auto" w:sz="4" w:space="0"/>
              <w:right w:val="single" w:color="auto" w:sz="4" w:space="0"/>
            </w:tcBorders>
            <w:noWrap w:val="0"/>
            <w:vAlign w:val="center"/>
          </w:tcPr>
          <w:p w14:paraId="4A486C2A">
            <w:pPr>
              <w:keepNext w:val="0"/>
              <w:keepLines w:val="0"/>
              <w:pageBreakBefore w:val="0"/>
              <w:widowControl/>
              <w:spacing w:line="240" w:lineRule="auto"/>
              <w:jc w:val="center"/>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10</w:t>
            </w:r>
          </w:p>
        </w:tc>
      </w:tr>
      <w:tr w14:paraId="12CBB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028" w:type="dxa"/>
            <w:gridSpan w:val="3"/>
            <w:tcBorders>
              <w:top w:val="single" w:color="auto" w:sz="4" w:space="0"/>
              <w:left w:val="single" w:color="auto" w:sz="4" w:space="0"/>
              <w:bottom w:val="single" w:color="auto" w:sz="4" w:space="0"/>
              <w:right w:val="single" w:color="auto" w:sz="4" w:space="0"/>
            </w:tcBorders>
            <w:noWrap w:val="0"/>
            <w:vAlign w:val="center"/>
          </w:tcPr>
          <w:p w14:paraId="326A9FB5">
            <w:pPr>
              <w:keepNext w:val="0"/>
              <w:keepLines w:val="0"/>
              <w:pageBreakBefore w:val="0"/>
              <w:widowControl/>
              <w:spacing w:line="240" w:lineRule="auto"/>
              <w:jc w:val="center"/>
              <w:rPr>
                <w:rFonts w:hint="default"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得分合计</w:t>
            </w:r>
          </w:p>
        </w:tc>
        <w:tc>
          <w:tcPr>
            <w:tcW w:w="746" w:type="dxa"/>
            <w:tcBorders>
              <w:top w:val="single" w:color="auto" w:sz="4" w:space="0"/>
              <w:left w:val="single" w:color="auto" w:sz="4" w:space="0"/>
              <w:bottom w:val="single" w:color="auto" w:sz="4" w:space="0"/>
              <w:right w:val="single" w:color="auto" w:sz="4" w:space="0"/>
            </w:tcBorders>
            <w:noWrap w:val="0"/>
            <w:vAlign w:val="center"/>
          </w:tcPr>
          <w:p w14:paraId="514F3763">
            <w:pPr>
              <w:keepNext w:val="0"/>
              <w:keepLines w:val="0"/>
              <w:pageBreakBefore w:val="0"/>
              <w:widowControl/>
              <w:spacing w:line="240" w:lineRule="auto"/>
              <w:jc w:val="center"/>
              <w:rPr>
                <w:rFonts w:hint="default"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100</w:t>
            </w:r>
          </w:p>
        </w:tc>
      </w:tr>
    </w:tbl>
    <w:p w14:paraId="7AA10F00">
      <w:pPr>
        <w:spacing w:line="360" w:lineRule="auto"/>
        <w:rPr>
          <w:rFonts w:hint="eastAsia" w:ascii="宋体" w:hAnsi="宋体" w:cs="宋体"/>
          <w:bCs/>
          <w:szCs w:val="21"/>
        </w:rPr>
      </w:pPr>
      <w:r>
        <w:rPr>
          <w:rFonts w:hint="eastAsia" w:ascii="宋体" w:hAnsi="宋体" w:cs="宋体"/>
          <w:bCs/>
          <w:szCs w:val="21"/>
        </w:rPr>
        <w:t>说明：</w:t>
      </w:r>
    </w:p>
    <w:p w14:paraId="0C2B5C7A">
      <w:pPr>
        <w:spacing w:line="360" w:lineRule="auto"/>
        <w:rPr>
          <w:rFonts w:hint="eastAsia" w:ascii="宋体" w:hAnsi="宋体" w:cs="宋体"/>
          <w:bCs/>
          <w:szCs w:val="21"/>
        </w:rPr>
      </w:pPr>
      <w:r>
        <w:rPr>
          <w:rFonts w:hint="eastAsia" w:ascii="宋体" w:hAnsi="宋体" w:cs="宋体"/>
          <w:bCs/>
          <w:szCs w:val="21"/>
        </w:rPr>
        <w:t>1.所有认证、证明和业绩均以有效清晰的证明文件的复印件为依据，原件备查。</w:t>
      </w:r>
    </w:p>
    <w:p w14:paraId="0225A096">
      <w:pPr>
        <w:spacing w:line="360" w:lineRule="auto"/>
        <w:rPr>
          <w:rFonts w:hint="eastAsia" w:ascii="宋体" w:hAnsi="宋体" w:cs="宋体"/>
          <w:bCs/>
          <w:kern w:val="0"/>
          <w:szCs w:val="21"/>
        </w:rPr>
      </w:pPr>
      <w:r>
        <w:rPr>
          <w:rFonts w:hint="eastAsia" w:ascii="宋体" w:hAnsi="宋体" w:cs="宋体"/>
          <w:bCs/>
          <w:kern w:val="0"/>
          <w:szCs w:val="21"/>
        </w:rPr>
        <w:t>2.小微企业价格扣除</w:t>
      </w:r>
    </w:p>
    <w:p w14:paraId="22E11C9B">
      <w:pPr>
        <w:spacing w:line="360" w:lineRule="auto"/>
        <w:rPr>
          <w:rFonts w:hint="eastAsia" w:ascii="宋体" w:hAnsi="宋体" w:cs="宋体"/>
          <w:bCs/>
          <w:kern w:val="0"/>
          <w:szCs w:val="21"/>
        </w:rPr>
      </w:pPr>
      <w:r>
        <w:rPr>
          <w:rFonts w:hint="eastAsia" w:ascii="宋体" w:hAnsi="宋体" w:cs="宋体"/>
          <w:bCs/>
          <w:kern w:val="0"/>
          <w:szCs w:val="21"/>
        </w:rPr>
        <w:t>2.1对于专门面向中小企业或小型、微型企业的项目，只面向中小企业或小型、微型企业采购。对于非专门面向中小企业的项目，对小型和微型企业的价格给予10%的扣除，用扣除后的价格参与评审。</w:t>
      </w:r>
    </w:p>
    <w:p w14:paraId="39EF2E0C">
      <w:pPr>
        <w:spacing w:line="360" w:lineRule="auto"/>
        <w:rPr>
          <w:rFonts w:hint="eastAsia" w:ascii="宋体" w:hAnsi="宋体" w:cs="宋体"/>
          <w:bCs/>
          <w:kern w:val="0"/>
          <w:szCs w:val="21"/>
        </w:rPr>
      </w:pPr>
      <w:r>
        <w:rPr>
          <w:rFonts w:hint="eastAsia" w:ascii="宋体" w:hAnsi="宋体" w:cs="宋体"/>
          <w:bCs/>
          <w:kern w:val="0"/>
          <w:szCs w:val="21"/>
        </w:rPr>
        <w:t>2.2大中型企业和其他自然人、法人或者其他组织与小型、微型企业组成联合体共同参加投标，如果联合协议中约定，小型、微型企业的协议合同金额占到联合体协议合同总金额30%以上的，给予联合体4%的价格扣除。联合体各方均为小型、微型企业的，联合体视同为小型、微型企业给予10%价格扣除，用扣除后的价格参与评审。组成联合体的大中型企业和其他自然人、法人或者其他组织，与小型、微型企业之间不得存在投资关系。</w:t>
      </w:r>
    </w:p>
    <w:p w14:paraId="67AD3147">
      <w:pPr>
        <w:spacing w:line="360" w:lineRule="auto"/>
        <w:rPr>
          <w:rFonts w:hint="eastAsia" w:ascii="宋体" w:hAnsi="宋体" w:cs="宋体"/>
          <w:bCs/>
          <w:kern w:val="0"/>
          <w:szCs w:val="21"/>
        </w:rPr>
      </w:pPr>
      <w:r>
        <w:rPr>
          <w:rFonts w:hint="eastAsia" w:ascii="宋体" w:hAnsi="宋体" w:cs="宋体"/>
          <w:bCs/>
          <w:kern w:val="0"/>
          <w:szCs w:val="21"/>
        </w:rPr>
        <w:t>3.监狱和戒毒企业的价格扣除</w:t>
      </w:r>
    </w:p>
    <w:p w14:paraId="31665BC9">
      <w:pPr>
        <w:spacing w:line="360" w:lineRule="auto"/>
        <w:rPr>
          <w:rFonts w:hint="eastAsia" w:ascii="宋体" w:hAnsi="宋体" w:cs="宋体"/>
          <w:bCs/>
          <w:kern w:val="0"/>
          <w:szCs w:val="21"/>
        </w:rPr>
      </w:pPr>
      <w:r>
        <w:rPr>
          <w:rFonts w:hint="eastAsia" w:ascii="宋体" w:hAnsi="宋体" w:cs="宋体"/>
          <w:bCs/>
          <w:kern w:val="0"/>
          <w:szCs w:val="21"/>
        </w:rPr>
        <w:t>3.1 本项目对监狱和戒毒企业，给予10%的价格扣除，用扣除后的价格参与评审。</w:t>
      </w:r>
    </w:p>
    <w:p w14:paraId="6A0736DE">
      <w:pPr>
        <w:spacing w:line="360" w:lineRule="auto"/>
        <w:rPr>
          <w:rFonts w:hint="eastAsia" w:ascii="宋体" w:hAnsi="宋体" w:cs="宋体"/>
          <w:bCs/>
          <w:kern w:val="0"/>
          <w:szCs w:val="21"/>
        </w:rPr>
      </w:pPr>
      <w:r>
        <w:rPr>
          <w:rFonts w:hint="eastAsia" w:ascii="宋体" w:hAnsi="宋体" w:cs="宋体"/>
          <w:bCs/>
          <w:kern w:val="0"/>
          <w:szCs w:val="21"/>
        </w:rPr>
        <w:t>3.2 监狱企业需提供由省级以上监狱管理局、戒毒管理局（含新疆生产建设兵团）出具的属于监狱企业的证明文件。</w:t>
      </w:r>
    </w:p>
    <w:p w14:paraId="3EE4C80F">
      <w:pPr>
        <w:spacing w:line="360" w:lineRule="auto"/>
        <w:rPr>
          <w:rFonts w:hint="eastAsia" w:ascii="宋体" w:hAnsi="宋体" w:cs="宋体"/>
          <w:bCs/>
          <w:kern w:val="0"/>
          <w:szCs w:val="21"/>
        </w:rPr>
      </w:pPr>
      <w:r>
        <w:rPr>
          <w:rFonts w:hint="eastAsia" w:ascii="宋体" w:hAnsi="宋体" w:cs="宋体"/>
          <w:bCs/>
          <w:kern w:val="0"/>
          <w:szCs w:val="21"/>
        </w:rPr>
        <w:t>3.3 监狱企业标准请参照《关于政府采购支持监狱企业发展有关问题的通知》（财库〔2014〕68号）。</w:t>
      </w:r>
    </w:p>
    <w:p w14:paraId="034CEBDE">
      <w:pPr>
        <w:spacing w:line="360" w:lineRule="auto"/>
        <w:rPr>
          <w:rFonts w:hint="eastAsia" w:ascii="宋体" w:hAnsi="宋体" w:cs="宋体"/>
          <w:bCs/>
          <w:kern w:val="0"/>
          <w:szCs w:val="21"/>
        </w:rPr>
      </w:pPr>
      <w:r>
        <w:rPr>
          <w:rFonts w:hint="eastAsia" w:ascii="宋体" w:hAnsi="宋体" w:cs="宋体"/>
          <w:bCs/>
          <w:kern w:val="0"/>
          <w:szCs w:val="21"/>
        </w:rPr>
        <w:t>4.残疾人福利性单位的价格扣除</w:t>
      </w:r>
    </w:p>
    <w:p w14:paraId="688413E9">
      <w:pPr>
        <w:spacing w:line="360" w:lineRule="auto"/>
        <w:rPr>
          <w:rFonts w:hint="eastAsia" w:ascii="宋体" w:hAnsi="宋体" w:cs="宋体"/>
          <w:bCs/>
          <w:kern w:val="0"/>
          <w:szCs w:val="21"/>
        </w:rPr>
      </w:pPr>
      <w:r>
        <w:rPr>
          <w:rFonts w:hint="eastAsia" w:ascii="宋体" w:hAnsi="宋体" w:cs="宋体"/>
          <w:bCs/>
          <w:kern w:val="0"/>
          <w:szCs w:val="21"/>
        </w:rPr>
        <w:t>4.1 本项目对残疾人福利性单位，给予10%的价格扣除，用扣除后的价格参与评审。</w:t>
      </w:r>
    </w:p>
    <w:p w14:paraId="061C9830">
      <w:pPr>
        <w:spacing w:line="360" w:lineRule="auto"/>
        <w:rPr>
          <w:rFonts w:hint="eastAsia" w:ascii="宋体" w:hAnsi="宋体" w:cs="宋体"/>
          <w:bCs/>
          <w:kern w:val="0"/>
          <w:szCs w:val="21"/>
        </w:rPr>
      </w:pPr>
      <w:r>
        <w:rPr>
          <w:rFonts w:hint="eastAsia" w:ascii="宋体" w:hAnsi="宋体" w:cs="宋体"/>
          <w:bCs/>
          <w:kern w:val="0"/>
          <w:szCs w:val="21"/>
        </w:rPr>
        <w:t>4.2 残疾人福利性单位需提供《残疾人福利性单位声明函》。</w:t>
      </w:r>
    </w:p>
    <w:p w14:paraId="563CA174">
      <w:pPr>
        <w:spacing w:line="360" w:lineRule="auto"/>
        <w:rPr>
          <w:rFonts w:hint="eastAsia" w:ascii="宋体" w:hAnsi="宋体" w:cs="宋体"/>
          <w:bCs/>
          <w:kern w:val="0"/>
          <w:szCs w:val="21"/>
        </w:rPr>
      </w:pPr>
      <w:r>
        <w:rPr>
          <w:rFonts w:hint="eastAsia" w:ascii="宋体" w:hAnsi="宋体" w:cs="宋体"/>
          <w:bCs/>
          <w:kern w:val="0"/>
          <w:szCs w:val="21"/>
        </w:rPr>
        <w:t>4.3 残疾人福利性单位标准请参照《关于促进残疾人就业政府采购政策的通知》（财库〔2017〕141号）。</w:t>
      </w:r>
    </w:p>
    <w:p w14:paraId="24D96CE4">
      <w:pPr>
        <w:spacing w:line="360" w:lineRule="auto"/>
        <w:rPr>
          <w:rFonts w:hint="eastAsia" w:ascii="宋体" w:hAnsi="宋体" w:cs="宋体"/>
          <w:bCs/>
          <w:kern w:val="0"/>
          <w:szCs w:val="21"/>
        </w:rPr>
      </w:pPr>
      <w:r>
        <w:rPr>
          <w:rFonts w:hint="eastAsia" w:ascii="宋体" w:hAnsi="宋体" w:cs="宋体"/>
          <w:bCs/>
          <w:kern w:val="0"/>
          <w:szCs w:val="21"/>
        </w:rPr>
        <w:t>5. 监狱企业、残疾人福利性单位属于小型、微型企业的，不重复享受政策。</w:t>
      </w:r>
    </w:p>
    <w:p w14:paraId="214B188F">
      <w:pPr>
        <w:spacing w:line="360" w:lineRule="auto"/>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lang w:val="en-US" w:eastAsia="zh-CN" w:bidi="ar-SA"/>
        </w:rPr>
        <w:t>6.本国产品的价格扣除</w:t>
      </w:r>
    </w:p>
    <w:p w14:paraId="2D492A6D">
      <w:pPr>
        <w:spacing w:line="360" w:lineRule="auto"/>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lang w:val="en-US" w:eastAsia="zh-CN" w:bidi="ar-SA"/>
        </w:rPr>
        <w:t>6.1本国产品标准、本国产品标准的适用范围、对本国产品的支持政策等详见《国务院办公厅关于在政府采购中实施本国产品标准及相关政策的通知》（国办发〔2025〕34号）。</w:t>
      </w:r>
    </w:p>
    <w:p w14:paraId="08EDD1B6">
      <w:pPr>
        <w:spacing w:line="360" w:lineRule="auto"/>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lang w:val="en-US" w:eastAsia="zh-CN" w:bidi="ar-SA"/>
        </w:rPr>
        <w:t>6.2政府采购活动中既有本国产品又有非本国产品参与竞争的，依法对本国产品给予价格评审优惠，对本国产品的报价给予20%的价格扣除，用扣除后的价格参与评审。</w:t>
      </w:r>
    </w:p>
    <w:p w14:paraId="71D1CD64">
      <w:pPr>
        <w:spacing w:line="360" w:lineRule="auto"/>
        <w:rPr>
          <w:rFonts w:hint="eastAsia" w:ascii="宋体" w:hAnsi="宋体" w:cs="宋体"/>
          <w:b/>
          <w:bCs/>
          <w:kern w:val="0"/>
          <w:szCs w:val="21"/>
        </w:rPr>
      </w:pPr>
      <w:r>
        <w:rPr>
          <w:rFonts w:hint="eastAsia" w:ascii="宋体" w:hAnsi="宋体" w:eastAsia="宋体" w:cs="宋体"/>
          <w:bCs/>
          <w:kern w:val="0"/>
          <w:sz w:val="21"/>
          <w:szCs w:val="21"/>
          <w:lang w:val="en-US" w:eastAsia="zh-CN" w:bidi="ar-SA"/>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r>
        <w:rPr>
          <w:rFonts w:hint="eastAsia" w:ascii="宋体" w:hAnsi="宋体" w:cs="宋体"/>
          <w:kern w:val="0"/>
          <w:szCs w:val="21"/>
        </w:rPr>
        <w:br w:type="page"/>
      </w:r>
    </w:p>
    <w:p w14:paraId="133C380C">
      <w:pPr>
        <w:pStyle w:val="2"/>
        <w:numPr>
          <w:ilvl w:val="0"/>
          <w:numId w:val="0"/>
        </w:numPr>
        <w:spacing w:line="360" w:lineRule="auto"/>
        <w:rPr>
          <w:rFonts w:hint="eastAsia" w:ascii="宋体" w:hAnsi="宋体" w:cs="宋体"/>
        </w:rPr>
      </w:pPr>
      <w:bookmarkStart w:id="12" w:name="_Toc31739"/>
      <w:bookmarkStart w:id="13" w:name="_Toc21966"/>
      <w:bookmarkStart w:id="14" w:name="_Toc481057147"/>
      <w:bookmarkStart w:id="15" w:name="_Hlk96071152"/>
      <w:r>
        <w:rPr>
          <w:rFonts w:hint="eastAsia" w:ascii="宋体" w:hAnsi="宋体" w:cs="宋体"/>
        </w:rPr>
        <w:t>第四章 采购需求</w:t>
      </w:r>
      <w:bookmarkEnd w:id="12"/>
      <w:bookmarkEnd w:id="13"/>
    </w:p>
    <w:bookmarkEnd w:id="14"/>
    <w:bookmarkEnd w:id="15"/>
    <w:p w14:paraId="073A934A">
      <w:pPr>
        <w:spacing w:line="360" w:lineRule="auto"/>
        <w:ind w:firstLine="422" w:firstLineChars="200"/>
        <w:rPr>
          <w:rFonts w:hint="eastAsia" w:ascii="宋体" w:hAnsi="宋体" w:cs="宋体"/>
          <w:b/>
          <w:bCs/>
          <w:color w:val="auto"/>
          <w:szCs w:val="21"/>
          <w:highlight w:val="none"/>
        </w:rPr>
      </w:pPr>
      <w:bookmarkStart w:id="16" w:name="_Toc28129"/>
      <w:r>
        <w:rPr>
          <w:rFonts w:hint="eastAsia" w:ascii="宋体" w:hAnsi="宋体" w:cs="宋体"/>
          <w:b/>
          <w:bCs/>
          <w:color w:val="auto"/>
          <w:szCs w:val="21"/>
          <w:highlight w:val="none"/>
        </w:rPr>
        <w:t>一、项目名称</w:t>
      </w:r>
    </w:p>
    <w:p w14:paraId="41C6021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2026年浦口区市场监管局农贸市场和商超快检室食品安全快速检测及相关服务</w:t>
      </w:r>
      <w:r>
        <w:rPr>
          <w:rFonts w:hint="eastAsia" w:ascii="宋体" w:hAnsi="宋体" w:cs="宋体"/>
          <w:color w:val="auto"/>
          <w:szCs w:val="21"/>
          <w:highlight w:val="none"/>
        </w:rPr>
        <w:t>项目</w:t>
      </w:r>
    </w:p>
    <w:p w14:paraId="629ACEFF">
      <w:pPr>
        <w:numPr>
          <w:ilvl w:val="0"/>
          <w:numId w:val="7"/>
        </w:num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项目概况</w:t>
      </w:r>
    </w:p>
    <w:p w14:paraId="315E1CDD">
      <w:pPr>
        <w:keepNext w:val="0"/>
        <w:keepLines w:val="0"/>
        <w:pageBreakBefore w:val="0"/>
        <w:widowControl w:val="0"/>
        <w:spacing w:line="360" w:lineRule="auto"/>
        <w:ind w:firstLine="420"/>
        <w:rPr>
          <w:rFonts w:hint="default" w:ascii="宋体" w:hAnsi="宋体" w:eastAsia="宋体" w:cs="宋体"/>
          <w:b w:val="0"/>
          <w:bCs w:val="0"/>
          <w:color w:val="auto"/>
          <w:sz w:val="21"/>
          <w:szCs w:val="21"/>
          <w:highlight w:val="none"/>
          <w:lang w:val="en-US" w:eastAsia="zh-CN" w:bidi="ar-SA"/>
        </w:rPr>
      </w:pPr>
      <w:r>
        <w:rPr>
          <w:rFonts w:hint="default" w:ascii="宋体" w:hAnsi="宋体" w:eastAsia="宋体" w:cs="宋体"/>
          <w:b w:val="0"/>
          <w:bCs w:val="0"/>
          <w:color w:val="auto"/>
          <w:sz w:val="21"/>
          <w:szCs w:val="21"/>
          <w:highlight w:val="none"/>
          <w:lang w:val="en-US" w:eastAsia="zh-CN" w:bidi="ar-SA"/>
        </w:rPr>
        <w:t>为进一步加强和规范</w:t>
      </w:r>
      <w:r>
        <w:rPr>
          <w:rFonts w:hint="eastAsia" w:ascii="宋体" w:hAnsi="宋体" w:eastAsia="宋体" w:cs="宋体"/>
          <w:b w:val="0"/>
          <w:bCs w:val="0"/>
          <w:color w:val="auto"/>
          <w:sz w:val="21"/>
          <w:szCs w:val="21"/>
          <w:highlight w:val="none"/>
          <w:lang w:val="en-US" w:eastAsia="zh-CN" w:bidi="ar-SA"/>
        </w:rPr>
        <w:t>浦口</w:t>
      </w:r>
      <w:r>
        <w:rPr>
          <w:rFonts w:hint="default" w:ascii="宋体" w:hAnsi="宋体" w:eastAsia="宋体" w:cs="宋体"/>
          <w:b w:val="0"/>
          <w:bCs w:val="0"/>
          <w:color w:val="auto"/>
          <w:sz w:val="21"/>
          <w:szCs w:val="21"/>
          <w:highlight w:val="none"/>
          <w:lang w:val="en-US" w:eastAsia="zh-CN" w:bidi="ar-SA"/>
        </w:rPr>
        <w:t>区食品安全快速检测工作，确保食用农产品质量安全，保障人民群众身体健康，根据相关工作要求，本项目拟通过公开招标选定</w:t>
      </w:r>
      <w:r>
        <w:rPr>
          <w:rFonts w:hint="eastAsia" w:ascii="宋体" w:hAnsi="宋体" w:cs="宋体"/>
          <w:b w:val="0"/>
          <w:bCs w:val="0"/>
          <w:color w:val="auto"/>
          <w:sz w:val="21"/>
          <w:szCs w:val="21"/>
          <w:highlight w:val="none"/>
          <w:lang w:val="en-US" w:eastAsia="zh-CN" w:bidi="ar-SA"/>
        </w:rPr>
        <w:t>3</w:t>
      </w:r>
      <w:r>
        <w:rPr>
          <w:rFonts w:hint="default" w:ascii="宋体" w:hAnsi="宋体" w:eastAsia="宋体" w:cs="宋体"/>
          <w:b w:val="0"/>
          <w:bCs w:val="0"/>
          <w:color w:val="auto"/>
          <w:sz w:val="21"/>
          <w:szCs w:val="21"/>
          <w:highlight w:val="none"/>
          <w:lang w:val="en-US" w:eastAsia="zh-CN" w:bidi="ar-SA"/>
        </w:rPr>
        <w:t>家供应商，负责</w:t>
      </w:r>
      <w:r>
        <w:rPr>
          <w:rFonts w:hint="eastAsia" w:ascii="宋体" w:hAnsi="宋体" w:eastAsia="宋体" w:cs="宋体"/>
          <w:b w:val="0"/>
          <w:bCs w:val="0"/>
          <w:color w:val="auto"/>
          <w:sz w:val="21"/>
          <w:szCs w:val="21"/>
          <w:highlight w:val="none"/>
          <w:lang w:val="en-US" w:eastAsia="zh-CN" w:bidi="ar-SA"/>
        </w:rPr>
        <w:t>浦口</w:t>
      </w:r>
      <w:r>
        <w:rPr>
          <w:rFonts w:hint="default" w:ascii="宋体" w:hAnsi="宋体" w:eastAsia="宋体" w:cs="宋体"/>
          <w:b w:val="0"/>
          <w:bCs w:val="0"/>
          <w:color w:val="auto"/>
          <w:sz w:val="21"/>
          <w:szCs w:val="21"/>
          <w:highlight w:val="none"/>
          <w:lang w:val="en-US" w:eastAsia="zh-CN" w:bidi="ar-SA"/>
        </w:rPr>
        <w:t>区</w:t>
      </w:r>
      <w:r>
        <w:rPr>
          <w:rFonts w:hint="eastAsia" w:ascii="宋体" w:hAnsi="宋体" w:cs="宋体"/>
          <w:bCs/>
          <w:szCs w:val="21"/>
          <w:highlight w:val="none"/>
        </w:rPr>
        <w:t>12家农贸市场</w:t>
      </w:r>
      <w:r>
        <w:rPr>
          <w:rFonts w:hint="eastAsia" w:ascii="宋体" w:hAnsi="宋体" w:cs="宋体"/>
          <w:bCs/>
          <w:szCs w:val="21"/>
          <w:highlight w:val="none"/>
          <w:lang w:eastAsia="zh-CN"/>
        </w:rPr>
        <w:t>和</w:t>
      </w:r>
      <w:r>
        <w:rPr>
          <w:rFonts w:hint="eastAsia" w:ascii="宋体" w:hAnsi="宋体" w:cs="宋体"/>
          <w:bCs/>
          <w:szCs w:val="21"/>
          <w:highlight w:val="none"/>
          <w:lang w:val="en-US" w:eastAsia="zh-CN"/>
        </w:rPr>
        <w:t>3</w:t>
      </w:r>
      <w:r>
        <w:rPr>
          <w:rFonts w:hint="eastAsia" w:ascii="宋体" w:hAnsi="宋体" w:cs="宋体"/>
          <w:bCs/>
          <w:szCs w:val="21"/>
          <w:highlight w:val="none"/>
        </w:rPr>
        <w:t>家商超快检室</w:t>
      </w:r>
      <w:r>
        <w:rPr>
          <w:rFonts w:hint="default" w:ascii="宋体" w:hAnsi="宋体" w:eastAsia="宋体" w:cs="宋体"/>
          <w:b w:val="0"/>
          <w:bCs w:val="0"/>
          <w:color w:val="auto"/>
          <w:sz w:val="21"/>
          <w:szCs w:val="21"/>
          <w:highlight w:val="none"/>
          <w:lang w:val="en-US" w:eastAsia="zh-CN" w:bidi="ar-SA"/>
        </w:rPr>
        <w:t>的食品安全检测运行维护。</w:t>
      </w:r>
    </w:p>
    <w:p w14:paraId="1B885BA7">
      <w:pPr>
        <w:keepNext w:val="0"/>
        <w:keepLines w:val="0"/>
        <w:numPr>
          <w:ins w:id="0" w:author="三胖子他娘" w:date="2026-02-10T16:24:24Z"/>
        </w:numPr>
        <w:spacing w:line="360" w:lineRule="auto"/>
        <w:ind w:firstLine="420" w:firstLineChars="200"/>
        <w:rPr>
          <w:rFonts w:hint="eastAsia" w:ascii="宋体" w:hAnsi="宋体" w:cs="宋体"/>
          <w:b w:val="0"/>
          <w:bCs w:val="0"/>
          <w:kern w:val="28"/>
          <w:sz w:val="21"/>
          <w:szCs w:val="21"/>
          <w:highlight w:val="none"/>
          <w:lang w:val="en-US" w:eastAsia="zh-CN" w:bidi="ar-SA"/>
        </w:rPr>
      </w:pPr>
      <w:r>
        <w:rPr>
          <w:rFonts w:hint="default" w:ascii="宋体" w:hAnsi="宋体" w:eastAsia="宋体" w:cs="宋体"/>
          <w:b w:val="0"/>
          <w:bCs w:val="0"/>
          <w:kern w:val="28"/>
          <w:sz w:val="21"/>
          <w:szCs w:val="21"/>
          <w:highlight w:val="none"/>
          <w:lang w:val="en-US" w:eastAsia="zh-CN" w:bidi="ar-SA"/>
        </w:rPr>
        <w:t>服务内容</w:t>
      </w:r>
      <w:r>
        <w:rPr>
          <w:rFonts w:hint="eastAsia" w:ascii="宋体" w:hAnsi="宋体" w:eastAsia="宋体" w:cs="宋体"/>
          <w:b w:val="0"/>
          <w:bCs w:val="0"/>
          <w:kern w:val="28"/>
          <w:sz w:val="21"/>
          <w:szCs w:val="21"/>
          <w:highlight w:val="none"/>
          <w:lang w:val="en-US" w:eastAsia="zh-CN" w:bidi="ar-SA"/>
        </w:rPr>
        <w:t>包括</w:t>
      </w:r>
      <w:r>
        <w:rPr>
          <w:rFonts w:hint="default" w:ascii="宋体" w:hAnsi="宋体" w:eastAsia="宋体" w:cs="宋体"/>
          <w:b w:val="0"/>
          <w:bCs w:val="0"/>
          <w:kern w:val="28"/>
          <w:sz w:val="21"/>
          <w:szCs w:val="21"/>
          <w:highlight w:val="none"/>
          <w:lang w:val="en-US" w:eastAsia="zh-CN" w:bidi="ar-SA"/>
        </w:rPr>
        <w:t>：</w:t>
      </w:r>
      <w:r>
        <w:rPr>
          <w:rFonts w:hint="eastAsia" w:ascii="宋体" w:hAnsi="宋体" w:eastAsia="宋体" w:cs="宋体"/>
          <w:b w:val="0"/>
          <w:bCs w:val="0"/>
          <w:kern w:val="28"/>
          <w:sz w:val="21"/>
          <w:szCs w:val="21"/>
          <w:highlight w:val="none"/>
          <w:lang w:val="en-US" w:eastAsia="zh-CN" w:bidi="ar-SA"/>
        </w:rPr>
        <w:t>（1）抽样检测。</w:t>
      </w:r>
      <w:r>
        <w:rPr>
          <w:rFonts w:hint="eastAsia" w:ascii="宋体" w:hAnsi="宋体" w:cs="宋体"/>
          <w:szCs w:val="21"/>
          <w:highlight w:val="none"/>
        </w:rPr>
        <w:t>对</w:t>
      </w:r>
      <w:r>
        <w:rPr>
          <w:rFonts w:hint="eastAsia" w:ascii="宋体" w:hAnsi="宋体" w:cs="宋体"/>
          <w:szCs w:val="21"/>
          <w:highlight w:val="none"/>
          <w:lang w:eastAsia="zh-CN"/>
        </w:rPr>
        <w:t>农贸市场、商超</w:t>
      </w:r>
      <w:r>
        <w:rPr>
          <w:rFonts w:hint="eastAsia" w:ascii="宋体" w:hAnsi="宋体" w:cs="宋体"/>
          <w:szCs w:val="21"/>
          <w:highlight w:val="none"/>
        </w:rPr>
        <w:t>的食用农产品提供食品安全快速检测服务。</w:t>
      </w:r>
      <w:r>
        <w:rPr>
          <w:rFonts w:hint="eastAsia" w:ascii="宋体" w:hAnsi="宋体" w:cs="宋体"/>
          <w:color w:val="auto"/>
          <w:szCs w:val="21"/>
          <w:highlight w:val="none"/>
          <w:lang w:val="en-US" w:eastAsia="zh-CN"/>
        </w:rPr>
        <w:t>日常</w:t>
      </w:r>
      <w:r>
        <w:rPr>
          <w:rFonts w:hint="eastAsia" w:ascii="宋体" w:hAnsi="宋体" w:cs="宋体"/>
          <w:color w:val="auto"/>
          <w:szCs w:val="21"/>
          <w:highlight w:val="none"/>
          <w:lang w:val="en-US"/>
        </w:rPr>
        <w:t>负责采样、检测、数据报送</w:t>
      </w:r>
      <w:r>
        <w:rPr>
          <w:rFonts w:hint="eastAsia" w:ascii="宋体" w:hAnsi="宋体" w:cs="宋体"/>
          <w:color w:val="auto"/>
          <w:szCs w:val="21"/>
          <w:highlight w:val="none"/>
          <w:lang w:val="en-US" w:eastAsia="zh-CN"/>
        </w:rPr>
        <w:t>、数据分析、快检阳性后处置并做好</w:t>
      </w:r>
      <w:r>
        <w:rPr>
          <w:rFonts w:hint="eastAsia" w:ascii="宋体" w:hAnsi="宋体" w:eastAsia="宋体"/>
          <w:color w:val="auto"/>
          <w:sz w:val="21"/>
          <w:szCs w:val="21"/>
          <w:highlight w:val="none"/>
        </w:rPr>
        <w:t>实验室设备</w:t>
      </w:r>
      <w:r>
        <w:rPr>
          <w:rFonts w:hint="eastAsia" w:ascii="宋体" w:hAnsi="宋体"/>
          <w:color w:val="auto"/>
          <w:sz w:val="21"/>
          <w:szCs w:val="21"/>
          <w:highlight w:val="none"/>
          <w:lang w:val="en-US" w:eastAsia="zh-CN"/>
        </w:rPr>
        <w:t>的</w:t>
      </w:r>
      <w:r>
        <w:rPr>
          <w:rFonts w:hint="eastAsia" w:ascii="宋体" w:hAnsi="宋体" w:eastAsia="宋体"/>
          <w:color w:val="auto"/>
          <w:sz w:val="21"/>
          <w:szCs w:val="21"/>
          <w:highlight w:val="none"/>
        </w:rPr>
        <w:t>维护管理、检测结果数据</w:t>
      </w:r>
      <w:r>
        <w:rPr>
          <w:rFonts w:hint="eastAsia" w:ascii="宋体" w:hAnsi="宋体"/>
          <w:color w:val="auto"/>
          <w:sz w:val="21"/>
          <w:szCs w:val="21"/>
          <w:highlight w:val="none"/>
          <w:lang w:val="en-US" w:eastAsia="zh-CN"/>
        </w:rPr>
        <w:t>的</w:t>
      </w:r>
      <w:r>
        <w:rPr>
          <w:rFonts w:hint="eastAsia" w:ascii="宋体" w:hAnsi="宋体" w:eastAsia="宋体"/>
          <w:color w:val="auto"/>
          <w:sz w:val="21"/>
          <w:szCs w:val="21"/>
          <w:highlight w:val="none"/>
        </w:rPr>
        <w:t>按</w:t>
      </w:r>
      <w:r>
        <w:rPr>
          <w:rFonts w:hint="eastAsia" w:ascii="宋体" w:hAnsi="宋体"/>
          <w:color w:val="auto"/>
          <w:sz w:val="21"/>
          <w:szCs w:val="21"/>
          <w:highlight w:val="none"/>
          <w:lang w:val="en-US" w:eastAsia="zh-CN"/>
        </w:rPr>
        <w:t>时</w:t>
      </w:r>
      <w:r>
        <w:rPr>
          <w:rFonts w:hint="eastAsia" w:ascii="宋体" w:hAnsi="宋体" w:eastAsia="宋体"/>
          <w:color w:val="auto"/>
          <w:sz w:val="21"/>
          <w:szCs w:val="21"/>
          <w:highlight w:val="none"/>
        </w:rPr>
        <w:t>公示、检测工作</w:t>
      </w:r>
      <w:r>
        <w:rPr>
          <w:rFonts w:hint="eastAsia" w:ascii="宋体" w:hAnsi="宋体"/>
          <w:color w:val="auto"/>
          <w:sz w:val="21"/>
          <w:szCs w:val="21"/>
          <w:highlight w:val="none"/>
          <w:lang w:val="en-US" w:eastAsia="zh-CN"/>
        </w:rPr>
        <w:t>的及时</w:t>
      </w:r>
      <w:r>
        <w:rPr>
          <w:rFonts w:hint="eastAsia" w:ascii="宋体" w:hAnsi="宋体" w:eastAsia="宋体"/>
          <w:color w:val="auto"/>
          <w:sz w:val="21"/>
          <w:szCs w:val="21"/>
          <w:highlight w:val="none"/>
        </w:rPr>
        <w:t>总结</w:t>
      </w:r>
      <w:r>
        <w:rPr>
          <w:rFonts w:hint="eastAsia" w:ascii="宋体" w:hAnsi="宋体"/>
          <w:color w:val="auto"/>
          <w:sz w:val="21"/>
          <w:szCs w:val="21"/>
          <w:highlight w:val="none"/>
          <w:lang w:val="en-US" w:eastAsia="zh-CN"/>
        </w:rPr>
        <w:t>及</w:t>
      </w:r>
      <w:r>
        <w:rPr>
          <w:rFonts w:hint="eastAsia" w:ascii="宋体" w:hAnsi="宋体" w:eastAsia="宋体"/>
          <w:color w:val="auto"/>
          <w:sz w:val="21"/>
          <w:szCs w:val="21"/>
          <w:highlight w:val="none"/>
        </w:rPr>
        <w:t>检测人员的培训管理</w:t>
      </w:r>
      <w:r>
        <w:rPr>
          <w:rFonts w:hint="eastAsia" w:ascii="宋体" w:hAnsi="宋体"/>
          <w:color w:val="auto"/>
          <w:sz w:val="21"/>
          <w:szCs w:val="21"/>
          <w:highlight w:val="none"/>
          <w:lang w:val="en-US" w:eastAsia="zh-CN"/>
        </w:rPr>
        <w:t>等一系列工作，配合做好快检转法检相关衔接工作。</w:t>
      </w:r>
      <w:r>
        <w:rPr>
          <w:rFonts w:hint="eastAsia" w:ascii="宋体" w:hAnsi="宋体" w:eastAsia="宋体" w:cs="宋体"/>
          <w:b w:val="0"/>
          <w:bCs w:val="0"/>
          <w:kern w:val="28"/>
          <w:sz w:val="21"/>
          <w:szCs w:val="21"/>
          <w:highlight w:val="none"/>
          <w:lang w:val="en-US" w:eastAsia="zh-CN" w:bidi="ar-SA"/>
        </w:rPr>
        <w:t>（2）</w:t>
      </w:r>
      <w:r>
        <w:rPr>
          <w:rFonts w:hint="eastAsia" w:ascii="宋体" w:hAnsi="宋体" w:cs="宋体"/>
          <w:b w:val="0"/>
          <w:bCs w:val="0"/>
          <w:kern w:val="28"/>
          <w:sz w:val="21"/>
          <w:szCs w:val="21"/>
          <w:highlight w:val="none"/>
          <w:lang w:val="en-US" w:eastAsia="zh-CN" w:bidi="ar-SA"/>
        </w:rPr>
        <w:t>增值服务</w:t>
      </w:r>
      <w:r>
        <w:rPr>
          <w:rFonts w:hint="eastAsia" w:ascii="宋体" w:hAnsi="宋体" w:eastAsia="宋体" w:cs="宋体"/>
          <w:b w:val="0"/>
          <w:bCs w:val="0"/>
          <w:kern w:val="28"/>
          <w:sz w:val="21"/>
          <w:szCs w:val="21"/>
          <w:highlight w:val="none"/>
          <w:lang w:val="en-US" w:eastAsia="zh-CN" w:bidi="ar-SA"/>
        </w:rPr>
        <w:t>。</w:t>
      </w:r>
      <w:r>
        <w:rPr>
          <w:rFonts w:hint="eastAsia" w:ascii="宋体" w:hAnsi="宋体" w:cs="宋体"/>
          <w:b w:val="0"/>
          <w:bCs w:val="0"/>
          <w:kern w:val="28"/>
          <w:sz w:val="21"/>
          <w:szCs w:val="21"/>
          <w:highlight w:val="none"/>
          <w:lang w:val="en-US" w:eastAsia="zh-CN" w:bidi="ar-SA"/>
        </w:rPr>
        <w:t>配合开展你送我检、你点我检、食安科普进校园、进社区、进养老院、进商超等系列活动，配合做好重大活动食品安全保障检测，其他需应急配合事项。</w:t>
      </w:r>
    </w:p>
    <w:p w14:paraId="69476F32">
      <w:pPr>
        <w:keepNext w:val="0"/>
        <w:keepLines w:val="0"/>
        <w:numPr>
          <w:ins w:id="1" w:author="三胖子他娘" w:date="2026-02-10T16:24:24Z"/>
        </w:numPr>
        <w:spacing w:line="360" w:lineRule="auto"/>
        <w:ind w:firstLine="422" w:firstLineChars="200"/>
        <w:rPr>
          <w:rFonts w:hint="default" w:ascii="宋体" w:hAnsi="宋体" w:eastAsia="宋体" w:cs="宋体"/>
          <w:b/>
          <w:bCs/>
          <w:color w:val="auto"/>
          <w:sz w:val="21"/>
          <w:szCs w:val="21"/>
          <w:highlight w:val="none"/>
          <w:lang w:val="en-US" w:eastAsia="zh-CN" w:bidi="ar-SA"/>
        </w:rPr>
      </w:pPr>
      <w:r>
        <w:rPr>
          <w:rFonts w:hint="default" w:ascii="宋体" w:hAnsi="宋体" w:eastAsia="宋体" w:cs="宋体"/>
          <w:b/>
          <w:bCs/>
          <w:color w:val="auto"/>
          <w:sz w:val="21"/>
          <w:szCs w:val="21"/>
          <w:highlight w:val="none"/>
          <w:lang w:val="en-US" w:eastAsia="zh-CN" w:bidi="ar-SA"/>
        </w:rPr>
        <w:t>本项目预算金额</w:t>
      </w:r>
      <w:r>
        <w:rPr>
          <w:rFonts w:hint="eastAsia" w:ascii="宋体" w:hAnsi="宋体" w:cs="宋体"/>
          <w:b/>
          <w:bCs/>
          <w:color w:val="auto"/>
          <w:sz w:val="21"/>
          <w:szCs w:val="21"/>
          <w:highlight w:val="none"/>
          <w:lang w:val="en-US" w:eastAsia="zh-CN" w:bidi="ar-SA"/>
        </w:rPr>
        <w:t>240.5</w:t>
      </w:r>
      <w:r>
        <w:rPr>
          <w:rFonts w:hint="default" w:ascii="宋体" w:hAnsi="宋体" w:eastAsia="宋体" w:cs="宋体"/>
          <w:b/>
          <w:bCs/>
          <w:color w:val="auto"/>
          <w:sz w:val="21"/>
          <w:szCs w:val="21"/>
          <w:highlight w:val="none"/>
          <w:lang w:val="en-US" w:eastAsia="zh-CN" w:bidi="ar-SA"/>
        </w:rPr>
        <w:t>万元，拟分</w:t>
      </w:r>
      <w:r>
        <w:rPr>
          <w:rFonts w:hint="eastAsia" w:ascii="宋体" w:hAnsi="宋体" w:cs="宋体"/>
          <w:b/>
          <w:bCs/>
          <w:color w:val="auto"/>
          <w:sz w:val="21"/>
          <w:szCs w:val="21"/>
          <w:highlight w:val="none"/>
          <w:lang w:val="en-US" w:eastAsia="zh-CN" w:bidi="ar-SA"/>
        </w:rPr>
        <w:t>3</w:t>
      </w:r>
      <w:r>
        <w:rPr>
          <w:rFonts w:hint="default" w:ascii="宋体" w:hAnsi="宋体" w:eastAsia="宋体" w:cs="宋体"/>
          <w:b/>
          <w:bCs/>
          <w:color w:val="auto"/>
          <w:sz w:val="21"/>
          <w:szCs w:val="21"/>
          <w:highlight w:val="none"/>
          <w:lang w:val="en-US" w:eastAsia="zh-CN" w:bidi="ar-SA"/>
        </w:rPr>
        <w:t>个</w:t>
      </w:r>
      <w:r>
        <w:rPr>
          <w:rFonts w:hint="eastAsia" w:ascii="宋体" w:hAnsi="宋体" w:cs="宋体"/>
          <w:b/>
          <w:bCs/>
          <w:color w:val="auto"/>
          <w:sz w:val="21"/>
          <w:szCs w:val="21"/>
          <w:highlight w:val="none"/>
          <w:lang w:val="en-US" w:eastAsia="zh-CN" w:bidi="ar-SA"/>
        </w:rPr>
        <w:t>分包</w:t>
      </w:r>
      <w:r>
        <w:rPr>
          <w:rFonts w:hint="default" w:ascii="宋体" w:hAnsi="宋体" w:eastAsia="宋体" w:cs="宋体"/>
          <w:b/>
          <w:bCs/>
          <w:color w:val="auto"/>
          <w:sz w:val="21"/>
          <w:szCs w:val="21"/>
          <w:highlight w:val="none"/>
          <w:lang w:val="en-US" w:eastAsia="zh-CN" w:bidi="ar-SA"/>
        </w:rPr>
        <w:t>，各</w:t>
      </w:r>
      <w:r>
        <w:rPr>
          <w:rFonts w:hint="eastAsia" w:ascii="宋体" w:hAnsi="宋体" w:cs="宋体"/>
          <w:b/>
          <w:bCs/>
          <w:color w:val="auto"/>
          <w:sz w:val="21"/>
          <w:szCs w:val="21"/>
          <w:highlight w:val="none"/>
          <w:lang w:val="en-US" w:eastAsia="zh-CN" w:bidi="ar-SA"/>
        </w:rPr>
        <w:t>分包</w:t>
      </w:r>
      <w:r>
        <w:rPr>
          <w:rFonts w:hint="default" w:ascii="宋体" w:hAnsi="宋体" w:eastAsia="宋体" w:cs="宋体"/>
          <w:b/>
          <w:bCs/>
          <w:color w:val="auto"/>
          <w:sz w:val="21"/>
          <w:szCs w:val="21"/>
          <w:highlight w:val="none"/>
          <w:lang w:val="en-US" w:eastAsia="zh-CN" w:bidi="ar-SA"/>
        </w:rPr>
        <w:t>根据市场综合情况给出指导价，投标报价以指导价为基准价，</w:t>
      </w:r>
      <w:r>
        <w:rPr>
          <w:rFonts w:hint="eastAsia" w:ascii="宋体" w:hAnsi="宋体" w:cs="宋体"/>
          <w:b/>
          <w:bCs/>
          <w:color w:val="auto"/>
          <w:sz w:val="21"/>
          <w:szCs w:val="21"/>
          <w:highlight w:val="none"/>
          <w:lang w:val="en-US" w:eastAsia="zh-CN" w:bidi="ar-SA"/>
        </w:rPr>
        <w:t>进行报</w:t>
      </w:r>
      <w:r>
        <w:rPr>
          <w:rFonts w:hint="default" w:ascii="宋体" w:hAnsi="宋体" w:eastAsia="宋体" w:cs="宋体"/>
          <w:b/>
          <w:bCs/>
          <w:color w:val="auto"/>
          <w:sz w:val="21"/>
          <w:szCs w:val="21"/>
          <w:highlight w:val="none"/>
          <w:lang w:val="en-US" w:eastAsia="zh-CN" w:bidi="ar-SA"/>
        </w:rPr>
        <w:t>价，各</w:t>
      </w:r>
      <w:r>
        <w:rPr>
          <w:rFonts w:hint="eastAsia" w:ascii="宋体" w:hAnsi="宋体" w:cs="宋体"/>
          <w:b/>
          <w:bCs/>
          <w:color w:val="auto"/>
          <w:sz w:val="21"/>
          <w:szCs w:val="21"/>
          <w:highlight w:val="none"/>
          <w:lang w:val="en-US" w:eastAsia="zh-CN" w:bidi="ar-SA"/>
        </w:rPr>
        <w:t>分包单价报价和总报价均</w:t>
      </w:r>
      <w:r>
        <w:rPr>
          <w:rFonts w:hint="default" w:ascii="宋体" w:hAnsi="宋体" w:eastAsia="宋体" w:cs="宋体"/>
          <w:b/>
          <w:bCs/>
          <w:color w:val="auto"/>
          <w:sz w:val="21"/>
          <w:szCs w:val="21"/>
          <w:highlight w:val="none"/>
          <w:lang w:val="en-US" w:eastAsia="zh-CN" w:bidi="ar-SA"/>
        </w:rPr>
        <w:t>不得超过其最高限价。中标供应商提供</w:t>
      </w:r>
      <w:r>
        <w:rPr>
          <w:rFonts w:hint="eastAsia" w:ascii="宋体" w:hAnsi="宋体" w:cs="宋体"/>
          <w:b/>
          <w:bCs/>
          <w:color w:val="auto"/>
          <w:sz w:val="21"/>
          <w:szCs w:val="21"/>
          <w:highlight w:val="none"/>
          <w:lang w:val="en-US" w:eastAsia="zh-CN" w:bidi="ar-SA"/>
        </w:rPr>
        <w:t>合同期内</w:t>
      </w:r>
      <w:r>
        <w:rPr>
          <w:rFonts w:hint="eastAsia" w:ascii="宋体" w:hAnsi="宋体" w:eastAsia="宋体" w:cs="宋体"/>
          <w:b/>
          <w:bCs/>
          <w:color w:val="auto"/>
          <w:sz w:val="21"/>
          <w:szCs w:val="21"/>
          <w:highlight w:val="none"/>
          <w:lang w:val="en-US" w:eastAsia="zh-CN" w:bidi="ar-SA"/>
        </w:rPr>
        <w:t>浦口</w:t>
      </w:r>
      <w:r>
        <w:rPr>
          <w:rFonts w:hint="default" w:ascii="宋体" w:hAnsi="宋体" w:eastAsia="宋体" w:cs="宋体"/>
          <w:b/>
          <w:bCs/>
          <w:color w:val="auto"/>
          <w:sz w:val="21"/>
          <w:szCs w:val="21"/>
          <w:highlight w:val="none"/>
          <w:lang w:val="en-US" w:eastAsia="zh-CN" w:bidi="ar-SA"/>
        </w:rPr>
        <w:t>区市场监管局食品安全快速检测服务，原则上根据各供应商中标</w:t>
      </w:r>
      <w:r>
        <w:rPr>
          <w:rFonts w:hint="eastAsia" w:ascii="宋体" w:hAnsi="宋体" w:cs="宋体"/>
          <w:b/>
          <w:bCs/>
          <w:color w:val="auto"/>
          <w:sz w:val="21"/>
          <w:szCs w:val="21"/>
          <w:highlight w:val="none"/>
          <w:lang w:val="en-US" w:eastAsia="zh-CN" w:bidi="ar-SA"/>
        </w:rPr>
        <w:t>分包</w:t>
      </w:r>
      <w:r>
        <w:rPr>
          <w:rFonts w:hint="default" w:ascii="宋体" w:hAnsi="宋体" w:eastAsia="宋体" w:cs="宋体"/>
          <w:b/>
          <w:bCs/>
          <w:color w:val="auto"/>
          <w:sz w:val="21"/>
          <w:szCs w:val="21"/>
          <w:highlight w:val="none"/>
          <w:lang w:val="en-US" w:eastAsia="zh-CN" w:bidi="ar-SA"/>
        </w:rPr>
        <w:t>分配快检任务，如遇到应急任务或专项任务等特殊任务，</w:t>
      </w:r>
      <w:r>
        <w:rPr>
          <w:rFonts w:hint="eastAsia" w:ascii="宋体" w:hAnsi="宋体" w:cs="宋体"/>
          <w:b/>
          <w:bCs/>
          <w:color w:val="auto"/>
          <w:sz w:val="21"/>
          <w:szCs w:val="21"/>
          <w:highlight w:val="none"/>
          <w:lang w:val="en-US" w:eastAsia="zh-CN" w:bidi="ar-SA"/>
        </w:rPr>
        <w:t>采购人有权根据监管需要</w:t>
      </w:r>
      <w:r>
        <w:rPr>
          <w:rFonts w:hint="default" w:ascii="宋体" w:hAnsi="宋体" w:eastAsia="宋体" w:cs="宋体"/>
          <w:b/>
          <w:bCs/>
          <w:color w:val="auto"/>
          <w:sz w:val="21"/>
          <w:szCs w:val="21"/>
          <w:highlight w:val="none"/>
          <w:lang w:val="en-US" w:eastAsia="zh-CN" w:bidi="ar-SA"/>
        </w:rPr>
        <w:t>进行调整。</w:t>
      </w:r>
    </w:p>
    <w:p w14:paraId="75A6ED01">
      <w:pPr>
        <w:pStyle w:val="253"/>
        <w:keepNext w:val="0"/>
        <w:keepLines w:val="0"/>
        <w:pageBreakBefore w:val="0"/>
        <w:widowControl w:val="0"/>
        <w:spacing w:before="0" w:after="0" w:line="560" w:lineRule="exact"/>
        <w:ind w:firstLine="42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w:t>
      </w:r>
      <w:r>
        <w:rPr>
          <w:rFonts w:hint="eastAsia" w:cs="宋体"/>
          <w:color w:val="auto"/>
          <w:sz w:val="21"/>
          <w:szCs w:val="21"/>
          <w:highlight w:val="none"/>
          <w:lang w:eastAsia="zh-CN"/>
        </w:rPr>
        <w:t>分包</w:t>
      </w:r>
      <w:r>
        <w:rPr>
          <w:rFonts w:hint="eastAsia" w:ascii="宋体" w:hAnsi="宋体" w:eastAsia="宋体" w:cs="宋体"/>
          <w:color w:val="auto"/>
          <w:sz w:val="21"/>
          <w:szCs w:val="21"/>
          <w:highlight w:val="none"/>
        </w:rPr>
        <w:t>具体信息如下：</w:t>
      </w:r>
    </w:p>
    <w:tbl>
      <w:tblPr>
        <w:tblStyle w:val="46"/>
        <w:tblW w:w="5483" w:type="pct"/>
        <w:tblInd w:w="-5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5"/>
        <w:gridCol w:w="2476"/>
        <w:gridCol w:w="1550"/>
        <w:gridCol w:w="1165"/>
        <w:gridCol w:w="1742"/>
        <w:gridCol w:w="1104"/>
        <w:gridCol w:w="1230"/>
      </w:tblGrid>
      <w:tr w14:paraId="0F627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blHeader/>
        </w:trPr>
        <w:tc>
          <w:tcPr>
            <w:tcW w:w="431" w:type="pct"/>
            <w:tcBorders>
              <w:top w:val="single" w:color="000000" w:sz="4" w:space="0"/>
              <w:left w:val="single" w:color="000000" w:sz="4" w:space="0"/>
              <w:bottom w:val="single" w:color="000000" w:sz="4" w:space="0"/>
              <w:right w:val="single" w:color="000000" w:sz="4" w:space="0"/>
            </w:tcBorders>
            <w:noWrap/>
            <w:vAlign w:val="center"/>
          </w:tcPr>
          <w:p w14:paraId="42B06EE9">
            <w:pPr>
              <w:keepNext w:val="0"/>
              <w:keepLines w:val="0"/>
              <w:widowControl/>
              <w:suppressLineNumbers w:val="0"/>
              <w:jc w:val="center"/>
              <w:rPr>
                <w:rFonts w:hint="default" w:ascii="Times New Roman" w:hAnsi="Times New Roman" w:eastAsia="宋体" w:cs="Times New Roman"/>
                <w:b/>
                <w:bCs/>
                <w:i w:val="0"/>
                <w:iCs w:val="0"/>
                <w:color w:val="auto"/>
                <w:sz w:val="21"/>
                <w:szCs w:val="21"/>
                <w:highlight w:val="none"/>
                <w:u w:val="none"/>
              </w:rPr>
            </w:pPr>
            <w:bookmarkStart w:id="17" w:name="OLE_LINK17"/>
            <w:r>
              <w:rPr>
                <w:rFonts w:hint="eastAsia" w:ascii="宋体" w:hAnsi="宋体" w:cs="宋体"/>
                <w:b/>
                <w:bCs/>
                <w:i w:val="0"/>
                <w:iCs w:val="0"/>
                <w:color w:val="auto"/>
                <w:sz w:val="21"/>
                <w:szCs w:val="21"/>
                <w:highlight w:val="none"/>
                <w:u w:val="none"/>
                <w:lang w:val="en-US" w:eastAsia="zh-CN" w:bidi="ar"/>
              </w:rPr>
              <w:t>采购包</w:t>
            </w:r>
          </w:p>
        </w:tc>
        <w:tc>
          <w:tcPr>
            <w:tcW w:w="1220" w:type="pct"/>
            <w:tcBorders>
              <w:top w:val="single" w:color="000000" w:sz="4" w:space="0"/>
              <w:left w:val="single" w:color="000000" w:sz="4" w:space="0"/>
              <w:bottom w:val="single" w:color="000000" w:sz="4" w:space="0"/>
              <w:right w:val="single" w:color="000000" w:sz="4" w:space="0"/>
            </w:tcBorders>
            <w:noWrap w:val="0"/>
            <w:vAlign w:val="center"/>
          </w:tcPr>
          <w:p w14:paraId="55C4E880">
            <w:pPr>
              <w:keepNext w:val="0"/>
              <w:keepLines w:val="0"/>
              <w:widowControl/>
              <w:suppressLineNumbers w:val="0"/>
              <w:jc w:val="center"/>
              <w:rPr>
                <w:rFonts w:hint="default" w:ascii="Times New Roman" w:hAnsi="Times New Roman" w:eastAsia="宋体" w:cs="Times New Roman"/>
                <w:b/>
                <w:bCs/>
                <w:i w:val="0"/>
                <w:iCs w:val="0"/>
                <w:color w:val="auto"/>
                <w:sz w:val="21"/>
                <w:szCs w:val="21"/>
                <w:highlight w:val="none"/>
                <w:u w:val="none"/>
                <w:lang w:val="en-US" w:eastAsia="zh-CN"/>
              </w:rPr>
            </w:pPr>
            <w:r>
              <w:rPr>
                <w:rFonts w:hint="eastAsia" w:eastAsia="宋体" w:cs="Times New Roman"/>
                <w:b/>
                <w:bCs/>
                <w:i w:val="0"/>
                <w:iCs w:val="0"/>
                <w:color w:val="auto"/>
                <w:sz w:val="21"/>
                <w:szCs w:val="21"/>
                <w:highlight w:val="none"/>
                <w:u w:val="none"/>
                <w:lang w:val="en-US" w:eastAsia="zh-CN"/>
              </w:rPr>
              <w:t>农贸市场（商超）名称</w:t>
            </w:r>
          </w:p>
        </w:tc>
        <w:tc>
          <w:tcPr>
            <w:tcW w:w="764" w:type="pct"/>
            <w:tcBorders>
              <w:top w:val="single" w:color="000000" w:sz="4" w:space="0"/>
              <w:left w:val="single" w:color="000000" w:sz="4" w:space="0"/>
              <w:bottom w:val="single" w:color="000000" w:sz="4" w:space="0"/>
              <w:right w:val="single" w:color="000000" w:sz="4" w:space="0"/>
            </w:tcBorders>
            <w:noWrap/>
            <w:vAlign w:val="center"/>
          </w:tcPr>
          <w:p w14:paraId="7E7403F0">
            <w:pPr>
              <w:keepNext w:val="0"/>
              <w:keepLines w:val="0"/>
              <w:widowControl/>
              <w:suppressLineNumbers w:val="0"/>
              <w:jc w:val="center"/>
              <w:rPr>
                <w:rFonts w:hint="default" w:ascii="Times New Roman" w:hAnsi="Times New Roman" w:eastAsia="宋体" w:cs="Times New Roman"/>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lang w:val="en-US" w:eastAsia="zh-CN" w:bidi="ar"/>
              </w:rPr>
              <w:t>项目内容</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6254F018">
            <w:pPr>
              <w:keepNext w:val="0"/>
              <w:keepLines w:val="0"/>
              <w:widowControl/>
              <w:suppressLineNumbers w:val="0"/>
              <w:jc w:val="center"/>
              <w:rPr>
                <w:rFonts w:hint="default" w:ascii="Times New Roman" w:hAnsi="Times New Roman" w:eastAsia="宋体" w:cs="Times New Roman"/>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lang w:val="en-US" w:eastAsia="zh-CN" w:bidi="ar"/>
              </w:rPr>
              <w:t>单价</w:t>
            </w:r>
            <w:r>
              <w:rPr>
                <w:rFonts w:hint="eastAsia" w:ascii="宋体" w:hAnsi="宋体" w:cs="宋体"/>
                <w:b/>
                <w:bCs/>
                <w:i w:val="0"/>
                <w:iCs w:val="0"/>
                <w:color w:val="auto"/>
                <w:sz w:val="21"/>
                <w:szCs w:val="21"/>
                <w:highlight w:val="none"/>
                <w:u w:val="none"/>
                <w:lang w:val="en-US" w:eastAsia="zh-CN" w:bidi="ar"/>
              </w:rPr>
              <w:t>限价</w:t>
            </w:r>
            <w:r>
              <w:rPr>
                <w:rFonts w:hint="eastAsia" w:ascii="宋体" w:hAnsi="宋体" w:eastAsia="宋体" w:cs="宋体"/>
                <w:b/>
                <w:bCs/>
                <w:i w:val="0"/>
                <w:iCs w:val="0"/>
                <w:color w:val="auto"/>
                <w:sz w:val="21"/>
                <w:szCs w:val="21"/>
                <w:highlight w:val="none"/>
                <w:u w:val="none"/>
                <w:lang w:val="en-US" w:eastAsia="zh-CN" w:bidi="ar"/>
              </w:rPr>
              <w:t>（元）</w:t>
            </w:r>
          </w:p>
        </w:tc>
        <w:tc>
          <w:tcPr>
            <w:tcW w:w="858" w:type="pct"/>
            <w:tcBorders>
              <w:top w:val="single" w:color="000000" w:sz="4" w:space="0"/>
              <w:left w:val="single" w:color="000000" w:sz="4" w:space="0"/>
              <w:bottom w:val="single" w:color="000000" w:sz="4" w:space="0"/>
              <w:right w:val="single" w:color="000000" w:sz="4" w:space="0"/>
            </w:tcBorders>
            <w:noWrap w:val="0"/>
            <w:vAlign w:val="center"/>
          </w:tcPr>
          <w:p w14:paraId="42ECD327">
            <w:pPr>
              <w:keepNext w:val="0"/>
              <w:keepLines w:val="0"/>
              <w:widowControl/>
              <w:suppressLineNumbers w:val="0"/>
              <w:jc w:val="center"/>
              <w:rPr>
                <w:rFonts w:hint="default" w:ascii="Times New Roman" w:hAnsi="Times New Roman" w:eastAsia="宋体" w:cs="Times New Roman"/>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lang w:val="en-US" w:eastAsia="zh-CN" w:bidi="ar"/>
              </w:rPr>
              <w:t>数量</w:t>
            </w:r>
          </w:p>
        </w:tc>
        <w:tc>
          <w:tcPr>
            <w:tcW w:w="544" w:type="pct"/>
            <w:tcBorders>
              <w:top w:val="single" w:color="000000" w:sz="4" w:space="0"/>
              <w:left w:val="single" w:color="000000" w:sz="4" w:space="0"/>
              <w:bottom w:val="single" w:color="000000" w:sz="4" w:space="0"/>
              <w:right w:val="single" w:color="000000" w:sz="4" w:space="0"/>
            </w:tcBorders>
            <w:noWrap/>
            <w:vAlign w:val="center"/>
          </w:tcPr>
          <w:p w14:paraId="2320A791">
            <w:pPr>
              <w:keepNext w:val="0"/>
              <w:keepLines w:val="0"/>
              <w:widowControl/>
              <w:suppressLineNumbers w:val="0"/>
              <w:jc w:val="center"/>
              <w:rPr>
                <w:rFonts w:hint="default" w:ascii="Times New Roman" w:hAnsi="Times New Roman" w:eastAsia="宋体" w:cs="Times New Roman"/>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lang w:val="en-US" w:eastAsia="zh-CN" w:bidi="ar"/>
              </w:rPr>
              <w:t>合计（元）</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22CAA47C">
            <w:pPr>
              <w:keepNext w:val="0"/>
              <w:keepLines w:val="0"/>
              <w:widowControl/>
              <w:suppressLineNumbers w:val="0"/>
              <w:jc w:val="center"/>
              <w:rPr>
                <w:rFonts w:hint="default" w:ascii="Times New Roman" w:hAnsi="Times New Roman" w:eastAsia="宋体" w:cs="Times New Roman"/>
                <w:b/>
                <w:bCs/>
                <w:i w:val="0"/>
                <w:iCs w:val="0"/>
                <w:color w:val="auto"/>
                <w:sz w:val="21"/>
                <w:szCs w:val="21"/>
                <w:highlight w:val="none"/>
                <w:u w:val="none"/>
              </w:rPr>
            </w:pPr>
            <w:r>
              <w:rPr>
                <w:rFonts w:hint="eastAsia" w:ascii="宋体" w:hAnsi="宋体" w:cs="宋体"/>
                <w:b/>
                <w:bCs/>
                <w:i w:val="0"/>
                <w:iCs w:val="0"/>
                <w:color w:val="auto"/>
                <w:sz w:val="21"/>
                <w:szCs w:val="21"/>
                <w:highlight w:val="none"/>
                <w:u w:val="none"/>
                <w:lang w:val="en-US" w:eastAsia="zh-CN" w:bidi="ar"/>
              </w:rPr>
              <w:t>分包最高总限价</w:t>
            </w:r>
            <w:r>
              <w:rPr>
                <w:rFonts w:hint="eastAsia" w:ascii="宋体" w:hAnsi="宋体" w:eastAsia="宋体" w:cs="宋体"/>
                <w:b/>
                <w:bCs/>
                <w:i w:val="0"/>
                <w:iCs w:val="0"/>
                <w:color w:val="auto"/>
                <w:sz w:val="21"/>
                <w:szCs w:val="21"/>
                <w:highlight w:val="none"/>
                <w:u w:val="none"/>
                <w:lang w:val="en-US" w:eastAsia="zh-CN" w:bidi="ar"/>
              </w:rPr>
              <w:t>（元）</w:t>
            </w:r>
          </w:p>
        </w:tc>
      </w:tr>
      <w:tr w14:paraId="4DBA9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1" w:type="pct"/>
            <w:tcBorders>
              <w:top w:val="single" w:color="000000" w:sz="4" w:space="0"/>
              <w:left w:val="single" w:color="000000" w:sz="4" w:space="0"/>
              <w:bottom w:val="single" w:color="000000" w:sz="4" w:space="0"/>
              <w:right w:val="single" w:color="000000" w:sz="4" w:space="0"/>
            </w:tcBorders>
            <w:noWrap/>
            <w:vAlign w:val="center"/>
          </w:tcPr>
          <w:p w14:paraId="626FBBAD">
            <w:pPr>
              <w:keepNext w:val="0"/>
              <w:keepLines w:val="0"/>
              <w:widowControl/>
              <w:suppressLineNumbers w:val="0"/>
              <w:jc w:val="center"/>
              <w:rPr>
                <w:rFonts w:hint="default" w:ascii="Times New Roman" w:hAnsi="Times New Roman" w:eastAsia="宋体" w:cs="Times New Roman"/>
                <w:i w:val="0"/>
                <w:iCs w:val="0"/>
                <w:color w:val="auto"/>
                <w:sz w:val="21"/>
                <w:szCs w:val="21"/>
                <w:highlight w:val="none"/>
                <w:u w:val="none"/>
              </w:rPr>
            </w:pPr>
            <w:r>
              <w:rPr>
                <w:rFonts w:hint="eastAsia" w:ascii="宋体" w:hAnsi="宋体" w:cs="宋体"/>
                <w:b/>
                <w:bCs/>
                <w:i w:val="0"/>
                <w:iCs w:val="0"/>
                <w:color w:val="auto"/>
                <w:sz w:val="21"/>
                <w:szCs w:val="21"/>
                <w:highlight w:val="none"/>
                <w:u w:val="none"/>
                <w:lang w:val="en-US" w:eastAsia="zh-CN" w:bidi="ar"/>
              </w:rPr>
              <w:t>采购包</w:t>
            </w:r>
            <w:r>
              <w:rPr>
                <w:rFonts w:hint="eastAsia" w:ascii="宋体" w:hAnsi="宋体" w:cs="宋体"/>
                <w:i w:val="0"/>
                <w:iCs w:val="0"/>
                <w:color w:val="auto"/>
                <w:sz w:val="21"/>
                <w:szCs w:val="21"/>
                <w:highlight w:val="none"/>
                <w:u w:val="none"/>
                <w:lang w:val="en-US" w:eastAsia="zh-CN" w:bidi="ar"/>
              </w:rPr>
              <w:t>1</w:t>
            </w:r>
          </w:p>
        </w:tc>
        <w:tc>
          <w:tcPr>
            <w:tcW w:w="1220" w:type="pct"/>
            <w:tcBorders>
              <w:top w:val="single" w:color="000000" w:sz="4" w:space="0"/>
              <w:left w:val="single" w:color="000000" w:sz="4" w:space="0"/>
              <w:right w:val="single" w:color="000000" w:sz="4" w:space="0"/>
            </w:tcBorders>
            <w:noWrap w:val="0"/>
            <w:vAlign w:val="center"/>
          </w:tcPr>
          <w:p w14:paraId="056C72B0">
            <w:pPr>
              <w:keepNext w:val="0"/>
              <w:keepLines w:val="0"/>
              <w:widowControl/>
              <w:suppressLineNumbers w:val="0"/>
              <w:jc w:val="left"/>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象山农贸市场、鼎顺农贸市场</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小浦生鲜市集、大润发超市（浦口店）、万客隆鲸选超市（雨山龙湖天街店）</w:t>
            </w:r>
          </w:p>
        </w:tc>
        <w:tc>
          <w:tcPr>
            <w:tcW w:w="764" w:type="pct"/>
            <w:tcBorders>
              <w:top w:val="single" w:color="000000" w:sz="4" w:space="0"/>
              <w:left w:val="single" w:color="000000" w:sz="4" w:space="0"/>
              <w:bottom w:val="single" w:color="000000" w:sz="4" w:space="0"/>
              <w:right w:val="single" w:color="000000" w:sz="4" w:space="0"/>
            </w:tcBorders>
            <w:noWrap/>
            <w:vAlign w:val="center"/>
          </w:tcPr>
          <w:p w14:paraId="6FE21961">
            <w:pPr>
              <w:keepNext w:val="0"/>
              <w:keepLines w:val="0"/>
              <w:widowControl/>
              <w:suppressLineNumbers w:val="0"/>
              <w:jc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日常检测</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5762674D">
            <w:pPr>
              <w:keepNext w:val="0"/>
              <w:keepLines w:val="0"/>
              <w:widowControl/>
              <w:suppressLineNumbers w:val="0"/>
              <w:jc w:val="center"/>
              <w:rPr>
                <w:rFonts w:hint="default" w:ascii="Times New Roman" w:hAnsi="Times New Roman" w:eastAsia="宋体" w:cs="Times New Roman"/>
                <w:i w:val="0"/>
                <w:iCs w:val="0"/>
                <w:color w:val="auto"/>
                <w:sz w:val="21"/>
                <w:szCs w:val="21"/>
                <w:highlight w:val="none"/>
                <w:u w:val="none"/>
              </w:rPr>
            </w:pPr>
            <w:r>
              <w:rPr>
                <w:rFonts w:hint="eastAsia" w:cs="Times New Roman"/>
                <w:i w:val="0"/>
                <w:iCs w:val="0"/>
                <w:color w:val="auto"/>
                <w:sz w:val="21"/>
                <w:szCs w:val="21"/>
                <w:highlight w:val="none"/>
                <w:u w:val="none"/>
                <w:lang w:val="en-US" w:eastAsia="zh-CN" w:bidi="ar"/>
              </w:rPr>
              <w:t>21</w:t>
            </w:r>
            <w:r>
              <w:rPr>
                <w:rFonts w:hint="eastAsia" w:ascii="宋体" w:hAnsi="宋体" w:eastAsia="宋体" w:cs="宋体"/>
                <w:i w:val="0"/>
                <w:iCs w:val="0"/>
                <w:color w:val="auto"/>
                <w:sz w:val="21"/>
                <w:szCs w:val="21"/>
                <w:highlight w:val="none"/>
                <w:u w:val="none"/>
                <w:lang w:val="en-US" w:eastAsia="zh-CN" w:bidi="ar"/>
              </w:rPr>
              <w:t>元</w:t>
            </w:r>
            <w:r>
              <w:rPr>
                <w:rFonts w:hint="default" w:ascii="Times New Roman" w:hAnsi="Times New Roman" w:eastAsia="宋体" w:cs="Times New Roman"/>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批</w:t>
            </w:r>
          </w:p>
        </w:tc>
        <w:tc>
          <w:tcPr>
            <w:tcW w:w="858" w:type="pct"/>
            <w:tcBorders>
              <w:top w:val="single" w:color="000000" w:sz="4" w:space="0"/>
              <w:left w:val="single" w:color="000000" w:sz="4" w:space="0"/>
              <w:bottom w:val="single" w:color="000000" w:sz="4" w:space="0"/>
              <w:right w:val="single" w:color="000000" w:sz="4" w:space="0"/>
            </w:tcBorders>
            <w:noWrap/>
            <w:vAlign w:val="center"/>
          </w:tcPr>
          <w:p w14:paraId="2EA60D13">
            <w:pPr>
              <w:keepNext w:val="0"/>
              <w:keepLines w:val="0"/>
              <w:widowControl/>
              <w:suppressLineNumbers w:val="0"/>
              <w:jc w:val="center"/>
              <w:rPr>
                <w:rFonts w:hint="default" w:ascii="Times New Roman" w:hAnsi="Times New Roman" w:eastAsia="宋体" w:cs="Times New Roman"/>
                <w:i w:val="0"/>
                <w:iCs w:val="0"/>
                <w:color w:val="auto"/>
                <w:sz w:val="21"/>
                <w:szCs w:val="21"/>
                <w:highlight w:val="none"/>
                <w:u w:val="none"/>
                <w:lang w:val="en-US"/>
              </w:rPr>
            </w:pPr>
            <w:r>
              <w:rPr>
                <w:rFonts w:hint="eastAsia" w:cs="Times New Roman"/>
                <w:i w:val="0"/>
                <w:iCs w:val="0"/>
                <w:color w:val="auto"/>
                <w:sz w:val="21"/>
                <w:szCs w:val="21"/>
                <w:highlight w:val="none"/>
                <w:u w:val="none"/>
                <w:lang w:val="en-US" w:eastAsia="zh-CN" w:bidi="ar"/>
              </w:rPr>
              <w:t>100*360</w:t>
            </w:r>
            <w:r>
              <w:rPr>
                <w:rFonts w:hint="eastAsia" w:ascii="宋体" w:hAnsi="宋体" w:eastAsia="宋体" w:cs="宋体"/>
                <w:i w:val="0"/>
                <w:iCs w:val="0"/>
                <w:color w:val="auto"/>
                <w:sz w:val="21"/>
                <w:szCs w:val="21"/>
                <w:highlight w:val="none"/>
                <w:u w:val="none"/>
                <w:lang w:val="en-US" w:eastAsia="zh-CN" w:bidi="ar"/>
              </w:rPr>
              <w:t>批次</w:t>
            </w:r>
          </w:p>
        </w:tc>
        <w:tc>
          <w:tcPr>
            <w:tcW w:w="544" w:type="pct"/>
            <w:tcBorders>
              <w:top w:val="single" w:color="000000" w:sz="4" w:space="0"/>
              <w:left w:val="single" w:color="000000" w:sz="4" w:space="0"/>
              <w:bottom w:val="single" w:color="000000" w:sz="4" w:space="0"/>
              <w:right w:val="single" w:color="000000" w:sz="4" w:space="0"/>
            </w:tcBorders>
            <w:noWrap/>
            <w:vAlign w:val="center"/>
          </w:tcPr>
          <w:p w14:paraId="2E91E2EA">
            <w:pPr>
              <w:keepNext w:val="0"/>
              <w:keepLines w:val="0"/>
              <w:widowControl/>
              <w:suppressLineNumbers w:val="0"/>
              <w:jc w:val="center"/>
              <w:rPr>
                <w:rFonts w:hint="default" w:ascii="Times New Roman" w:hAnsi="Times New Roman" w:eastAsia="宋体" w:cs="Times New Roman"/>
                <w:i w:val="0"/>
                <w:iCs w:val="0"/>
                <w:color w:val="auto"/>
                <w:sz w:val="21"/>
                <w:szCs w:val="21"/>
                <w:highlight w:val="none"/>
                <w:u w:val="none"/>
                <w:lang w:val="en-US"/>
              </w:rPr>
            </w:pPr>
            <w:r>
              <w:rPr>
                <w:rFonts w:hint="eastAsia" w:cs="Times New Roman"/>
                <w:i w:val="0"/>
                <w:iCs w:val="0"/>
                <w:color w:val="auto"/>
                <w:sz w:val="21"/>
                <w:szCs w:val="21"/>
                <w:highlight w:val="none"/>
                <w:u w:val="none"/>
                <w:lang w:val="en-US" w:eastAsia="zh-CN"/>
              </w:rPr>
              <w:t>756000</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29782498">
            <w:pPr>
              <w:keepNext w:val="0"/>
              <w:keepLines w:val="0"/>
              <w:widowControl/>
              <w:suppressLineNumbers w:val="0"/>
              <w:jc w:val="center"/>
              <w:rPr>
                <w:rFonts w:hint="default" w:ascii="Times New Roman" w:hAnsi="Times New Roman" w:eastAsia="宋体" w:cs="Times New Roman"/>
                <w:i w:val="0"/>
                <w:iCs w:val="0"/>
                <w:color w:val="auto"/>
                <w:sz w:val="21"/>
                <w:szCs w:val="21"/>
                <w:highlight w:val="none"/>
                <w:u w:val="none"/>
                <w:lang w:val="en-US"/>
              </w:rPr>
            </w:pPr>
            <w:r>
              <w:rPr>
                <w:rFonts w:hint="eastAsia" w:cs="Times New Roman"/>
                <w:i w:val="0"/>
                <w:iCs w:val="0"/>
                <w:color w:val="auto"/>
                <w:sz w:val="21"/>
                <w:szCs w:val="21"/>
                <w:highlight w:val="none"/>
                <w:u w:val="none"/>
                <w:lang w:val="en-US" w:eastAsia="zh-CN" w:bidi="ar"/>
              </w:rPr>
              <w:t>756000</w:t>
            </w:r>
          </w:p>
        </w:tc>
      </w:tr>
      <w:tr w14:paraId="01913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1" w:type="pct"/>
            <w:tcBorders>
              <w:top w:val="single" w:color="000000" w:sz="4" w:space="0"/>
              <w:left w:val="single" w:color="000000" w:sz="4" w:space="0"/>
              <w:bottom w:val="single" w:color="000000" w:sz="4" w:space="0"/>
              <w:right w:val="single" w:color="000000" w:sz="4" w:space="0"/>
            </w:tcBorders>
            <w:noWrap/>
            <w:vAlign w:val="center"/>
          </w:tcPr>
          <w:p w14:paraId="2ABAF97A">
            <w:pPr>
              <w:keepNext w:val="0"/>
              <w:keepLines w:val="0"/>
              <w:widowControl/>
              <w:suppressLineNumbers w:val="0"/>
              <w:jc w:val="center"/>
              <w:rPr>
                <w:rFonts w:hint="default" w:ascii="宋体" w:hAnsi="宋体" w:cs="宋体"/>
                <w:i w:val="0"/>
                <w:iCs w:val="0"/>
                <w:color w:val="auto"/>
                <w:sz w:val="21"/>
                <w:szCs w:val="21"/>
                <w:highlight w:val="none"/>
                <w:u w:val="none"/>
                <w:lang w:val="en-US" w:eastAsia="zh-CN" w:bidi="ar"/>
              </w:rPr>
            </w:pPr>
            <w:r>
              <w:rPr>
                <w:rFonts w:hint="eastAsia" w:ascii="宋体" w:hAnsi="宋体" w:cs="宋体"/>
                <w:b/>
                <w:bCs/>
                <w:i w:val="0"/>
                <w:iCs w:val="0"/>
                <w:color w:val="auto"/>
                <w:sz w:val="21"/>
                <w:szCs w:val="21"/>
                <w:highlight w:val="none"/>
                <w:u w:val="none"/>
                <w:lang w:val="en-US" w:eastAsia="zh-CN" w:bidi="ar"/>
              </w:rPr>
              <w:t>采购包</w:t>
            </w:r>
            <w:r>
              <w:rPr>
                <w:rFonts w:hint="eastAsia" w:ascii="宋体" w:hAnsi="宋体" w:cs="宋体"/>
                <w:i w:val="0"/>
                <w:iCs w:val="0"/>
                <w:color w:val="auto"/>
                <w:sz w:val="21"/>
                <w:szCs w:val="21"/>
                <w:highlight w:val="none"/>
                <w:u w:val="none"/>
                <w:lang w:val="en-US" w:eastAsia="zh-CN" w:bidi="ar"/>
              </w:rPr>
              <w:t>2</w:t>
            </w:r>
          </w:p>
        </w:tc>
        <w:tc>
          <w:tcPr>
            <w:tcW w:w="1220" w:type="pct"/>
            <w:tcBorders>
              <w:top w:val="single" w:color="000000" w:sz="4" w:space="0"/>
              <w:left w:val="single" w:color="000000" w:sz="4" w:space="0"/>
              <w:right w:val="single" w:color="000000" w:sz="4" w:space="0"/>
            </w:tcBorders>
            <w:noWrap w:val="0"/>
            <w:vAlign w:val="center"/>
          </w:tcPr>
          <w:p w14:paraId="2B13A13C">
            <w:pPr>
              <w:keepNext w:val="0"/>
              <w:keepLines w:val="0"/>
              <w:widowControl/>
              <w:suppressLineNumbers w:val="0"/>
              <w:jc w:val="left"/>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凡星农贸市场</w:t>
            </w:r>
            <w:r>
              <w:rPr>
                <w:rFonts w:hint="eastAsia" w:ascii="宋体" w:hAnsi="宋体" w:cs="宋体"/>
                <w:i w:val="0"/>
                <w:iCs w:val="0"/>
                <w:color w:val="auto"/>
                <w:sz w:val="21"/>
                <w:szCs w:val="21"/>
                <w:highlight w:val="none"/>
                <w:u w:val="none"/>
                <w:lang w:val="en-US" w:eastAsia="zh-CN" w:bidi="ar"/>
              </w:rPr>
              <w:t>、八里社区农贸市场、四季生鲜农贸市场、江佑铂庭</w:t>
            </w:r>
            <w:r>
              <w:rPr>
                <w:rFonts w:hint="eastAsia" w:ascii="宋体" w:hAnsi="宋体" w:eastAsia="宋体" w:cs="宋体"/>
                <w:i w:val="0"/>
                <w:iCs w:val="0"/>
                <w:color w:val="auto"/>
                <w:sz w:val="21"/>
                <w:szCs w:val="21"/>
                <w:highlight w:val="none"/>
                <w:u w:val="none"/>
                <w:lang w:val="en-US" w:eastAsia="zh-CN" w:bidi="ar"/>
              </w:rPr>
              <w:t>农贸市场</w:t>
            </w:r>
            <w:r>
              <w:rPr>
                <w:rFonts w:hint="eastAsia" w:ascii="宋体" w:hAnsi="宋体" w:cs="宋体"/>
                <w:i w:val="0"/>
                <w:iCs w:val="0"/>
                <w:color w:val="auto"/>
                <w:sz w:val="21"/>
                <w:szCs w:val="21"/>
                <w:highlight w:val="none"/>
                <w:u w:val="none"/>
                <w:lang w:val="en-US" w:eastAsia="zh-CN" w:bidi="ar"/>
              </w:rPr>
              <w:t>、高旺农贸市场</w:t>
            </w:r>
          </w:p>
        </w:tc>
        <w:tc>
          <w:tcPr>
            <w:tcW w:w="764" w:type="pct"/>
            <w:tcBorders>
              <w:top w:val="single" w:color="000000" w:sz="4" w:space="0"/>
              <w:left w:val="single" w:color="000000" w:sz="4" w:space="0"/>
              <w:bottom w:val="single" w:color="000000" w:sz="4" w:space="0"/>
              <w:right w:val="single" w:color="000000" w:sz="4" w:space="0"/>
            </w:tcBorders>
            <w:noWrap/>
            <w:vAlign w:val="center"/>
          </w:tcPr>
          <w:p w14:paraId="52722763">
            <w:pPr>
              <w:keepNext w:val="0"/>
              <w:keepLines w:val="0"/>
              <w:widowControl/>
              <w:suppressLineNumbers w:val="0"/>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日常检测</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3305E1B4">
            <w:pPr>
              <w:keepNext w:val="0"/>
              <w:keepLines w:val="0"/>
              <w:widowControl/>
              <w:suppressLineNumbers w:val="0"/>
              <w:jc w:val="center"/>
              <w:rPr>
                <w:rFonts w:hint="eastAsia" w:cs="Times New Roman"/>
                <w:i w:val="0"/>
                <w:iCs w:val="0"/>
                <w:color w:val="auto"/>
                <w:sz w:val="21"/>
                <w:szCs w:val="21"/>
                <w:highlight w:val="none"/>
                <w:u w:val="none"/>
                <w:lang w:val="en-US" w:eastAsia="zh-CN" w:bidi="ar"/>
              </w:rPr>
            </w:pPr>
            <w:r>
              <w:rPr>
                <w:rFonts w:hint="eastAsia" w:cs="Times New Roman"/>
                <w:i w:val="0"/>
                <w:iCs w:val="0"/>
                <w:color w:val="auto"/>
                <w:sz w:val="21"/>
                <w:szCs w:val="21"/>
                <w:highlight w:val="none"/>
                <w:u w:val="none"/>
                <w:lang w:val="en-US" w:eastAsia="zh-CN" w:bidi="ar"/>
              </w:rPr>
              <w:t>21</w:t>
            </w:r>
            <w:r>
              <w:rPr>
                <w:rFonts w:hint="eastAsia" w:ascii="宋体" w:hAnsi="宋体" w:eastAsia="宋体" w:cs="宋体"/>
                <w:i w:val="0"/>
                <w:iCs w:val="0"/>
                <w:color w:val="auto"/>
                <w:sz w:val="21"/>
                <w:szCs w:val="21"/>
                <w:highlight w:val="none"/>
                <w:u w:val="none"/>
                <w:lang w:val="en-US" w:eastAsia="zh-CN" w:bidi="ar"/>
              </w:rPr>
              <w:t>元</w:t>
            </w:r>
            <w:r>
              <w:rPr>
                <w:rFonts w:hint="default" w:ascii="Times New Roman" w:hAnsi="Times New Roman" w:eastAsia="宋体" w:cs="Times New Roman"/>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批</w:t>
            </w:r>
          </w:p>
        </w:tc>
        <w:tc>
          <w:tcPr>
            <w:tcW w:w="858" w:type="pct"/>
            <w:tcBorders>
              <w:top w:val="single" w:color="000000" w:sz="4" w:space="0"/>
              <w:left w:val="single" w:color="000000" w:sz="4" w:space="0"/>
              <w:bottom w:val="single" w:color="000000" w:sz="4" w:space="0"/>
              <w:right w:val="single" w:color="000000" w:sz="4" w:space="0"/>
            </w:tcBorders>
            <w:noWrap/>
            <w:vAlign w:val="center"/>
          </w:tcPr>
          <w:p w14:paraId="0E6520AB">
            <w:pPr>
              <w:keepNext w:val="0"/>
              <w:keepLines w:val="0"/>
              <w:widowControl/>
              <w:suppressLineNumbers w:val="0"/>
              <w:jc w:val="center"/>
              <w:rPr>
                <w:rFonts w:hint="default" w:cs="Times New Roman"/>
                <w:i w:val="0"/>
                <w:iCs w:val="0"/>
                <w:color w:val="auto"/>
                <w:sz w:val="21"/>
                <w:szCs w:val="21"/>
                <w:highlight w:val="none"/>
                <w:u w:val="none"/>
                <w:lang w:val="en-US" w:eastAsia="zh-CN" w:bidi="ar"/>
              </w:rPr>
            </w:pPr>
            <w:r>
              <w:rPr>
                <w:rFonts w:hint="eastAsia" w:cs="Times New Roman"/>
                <w:i w:val="0"/>
                <w:iCs w:val="0"/>
                <w:color w:val="auto"/>
                <w:sz w:val="21"/>
                <w:szCs w:val="21"/>
                <w:highlight w:val="none"/>
                <w:u w:val="none"/>
                <w:lang w:val="en-US" w:eastAsia="zh-CN" w:bidi="ar"/>
              </w:rPr>
              <w:t>110*360</w:t>
            </w:r>
            <w:r>
              <w:rPr>
                <w:rFonts w:hint="eastAsia" w:ascii="宋体" w:hAnsi="宋体" w:eastAsia="宋体" w:cs="宋体"/>
                <w:i w:val="0"/>
                <w:iCs w:val="0"/>
                <w:color w:val="auto"/>
                <w:sz w:val="21"/>
                <w:szCs w:val="21"/>
                <w:highlight w:val="none"/>
                <w:u w:val="none"/>
                <w:lang w:val="en-US" w:eastAsia="zh-CN" w:bidi="ar"/>
              </w:rPr>
              <w:t>批次</w:t>
            </w:r>
          </w:p>
        </w:tc>
        <w:tc>
          <w:tcPr>
            <w:tcW w:w="544" w:type="pct"/>
            <w:tcBorders>
              <w:top w:val="single" w:color="000000" w:sz="4" w:space="0"/>
              <w:left w:val="single" w:color="000000" w:sz="4" w:space="0"/>
              <w:bottom w:val="single" w:color="000000" w:sz="4" w:space="0"/>
              <w:right w:val="single" w:color="000000" w:sz="4" w:space="0"/>
            </w:tcBorders>
            <w:noWrap/>
            <w:vAlign w:val="center"/>
          </w:tcPr>
          <w:p w14:paraId="78A6C93E">
            <w:pPr>
              <w:keepNext w:val="0"/>
              <w:keepLines w:val="0"/>
              <w:widowControl/>
              <w:suppressLineNumbers w:val="0"/>
              <w:jc w:val="center"/>
              <w:rPr>
                <w:rFonts w:hint="default" w:eastAsia="宋体" w:cs="Times New Roman"/>
                <w:i w:val="0"/>
                <w:iCs w:val="0"/>
                <w:color w:val="auto"/>
                <w:sz w:val="21"/>
                <w:szCs w:val="21"/>
                <w:highlight w:val="none"/>
                <w:u w:val="none"/>
                <w:lang w:val="en-US" w:eastAsia="zh-CN"/>
              </w:rPr>
            </w:pPr>
            <w:r>
              <w:rPr>
                <w:rFonts w:hint="eastAsia" w:cs="Times New Roman"/>
                <w:i w:val="0"/>
                <w:iCs w:val="0"/>
                <w:color w:val="auto"/>
                <w:sz w:val="21"/>
                <w:szCs w:val="21"/>
                <w:highlight w:val="none"/>
                <w:u w:val="none"/>
                <w:lang w:val="en-US" w:eastAsia="zh-CN"/>
              </w:rPr>
              <w:t>831600</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26EA93DC">
            <w:pPr>
              <w:keepNext w:val="0"/>
              <w:keepLines w:val="0"/>
              <w:widowControl/>
              <w:suppressLineNumbers w:val="0"/>
              <w:jc w:val="center"/>
              <w:rPr>
                <w:rFonts w:hint="default" w:cs="Times New Roman"/>
                <w:i w:val="0"/>
                <w:iCs w:val="0"/>
                <w:color w:val="auto"/>
                <w:sz w:val="21"/>
                <w:szCs w:val="21"/>
                <w:highlight w:val="none"/>
                <w:u w:val="none"/>
                <w:lang w:val="en-US" w:eastAsia="zh-CN" w:bidi="ar"/>
              </w:rPr>
            </w:pPr>
            <w:r>
              <w:rPr>
                <w:rFonts w:hint="eastAsia" w:cs="Times New Roman"/>
                <w:i w:val="0"/>
                <w:iCs w:val="0"/>
                <w:color w:val="auto"/>
                <w:sz w:val="21"/>
                <w:szCs w:val="21"/>
                <w:highlight w:val="none"/>
                <w:u w:val="none"/>
                <w:lang w:val="en-US" w:eastAsia="zh-CN" w:bidi="ar"/>
              </w:rPr>
              <w:t>832000</w:t>
            </w:r>
          </w:p>
        </w:tc>
      </w:tr>
      <w:tr w14:paraId="59B80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trPr>
        <w:tc>
          <w:tcPr>
            <w:tcW w:w="431" w:type="pct"/>
            <w:tcBorders>
              <w:top w:val="single" w:color="000000" w:sz="4" w:space="0"/>
              <w:left w:val="single" w:color="000000" w:sz="4" w:space="0"/>
              <w:bottom w:val="single" w:color="000000" w:sz="4" w:space="0"/>
              <w:right w:val="single" w:color="000000" w:sz="4" w:space="0"/>
            </w:tcBorders>
            <w:noWrap/>
            <w:vAlign w:val="center"/>
          </w:tcPr>
          <w:p w14:paraId="2CA1056F">
            <w:pPr>
              <w:keepNext w:val="0"/>
              <w:keepLines w:val="0"/>
              <w:widowControl/>
              <w:suppressLineNumbers w:val="0"/>
              <w:jc w:val="center"/>
              <w:rPr>
                <w:rFonts w:hint="default" w:ascii="Times New Roman" w:hAnsi="Times New Roman" w:eastAsia="宋体" w:cs="Times New Roman"/>
                <w:i w:val="0"/>
                <w:iCs w:val="0"/>
                <w:color w:val="auto"/>
                <w:sz w:val="21"/>
                <w:szCs w:val="21"/>
                <w:highlight w:val="none"/>
                <w:u w:val="none"/>
              </w:rPr>
            </w:pPr>
            <w:r>
              <w:rPr>
                <w:rFonts w:hint="eastAsia" w:ascii="宋体" w:hAnsi="宋体" w:cs="宋体"/>
                <w:b/>
                <w:bCs/>
                <w:i w:val="0"/>
                <w:iCs w:val="0"/>
                <w:color w:val="auto"/>
                <w:sz w:val="21"/>
                <w:szCs w:val="21"/>
                <w:highlight w:val="none"/>
                <w:u w:val="none"/>
                <w:lang w:val="en-US" w:eastAsia="zh-CN" w:bidi="ar"/>
              </w:rPr>
              <w:t>采购包</w:t>
            </w:r>
            <w:r>
              <w:rPr>
                <w:rFonts w:hint="eastAsia" w:ascii="宋体" w:hAnsi="宋体" w:cs="宋体"/>
                <w:i w:val="0"/>
                <w:iCs w:val="0"/>
                <w:color w:val="auto"/>
                <w:sz w:val="21"/>
                <w:szCs w:val="21"/>
                <w:highlight w:val="none"/>
                <w:u w:val="none"/>
                <w:lang w:val="en-US" w:eastAsia="zh-CN" w:bidi="ar"/>
              </w:rPr>
              <w:t>3</w:t>
            </w:r>
          </w:p>
        </w:tc>
        <w:tc>
          <w:tcPr>
            <w:tcW w:w="1220" w:type="pct"/>
            <w:tcBorders>
              <w:top w:val="single" w:color="000000" w:sz="4" w:space="0"/>
              <w:left w:val="single" w:color="000000" w:sz="4" w:space="0"/>
              <w:bottom w:val="single" w:color="000000" w:sz="4" w:space="0"/>
              <w:right w:val="single" w:color="000000" w:sz="4" w:space="0"/>
            </w:tcBorders>
            <w:noWrap w:val="0"/>
            <w:vAlign w:val="center"/>
          </w:tcPr>
          <w:p w14:paraId="0BF54D53">
            <w:pPr>
              <w:keepNext w:val="0"/>
              <w:keepLines w:val="0"/>
              <w:widowControl/>
              <w:suppressLineNumbers w:val="0"/>
              <w:jc w:val="left"/>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桥林农贸市场、汤泉农贸市场、星甸农贸市场、石桥农贸市场、刘姐菜篮子永宁店</w:t>
            </w:r>
          </w:p>
        </w:tc>
        <w:tc>
          <w:tcPr>
            <w:tcW w:w="764" w:type="pct"/>
            <w:tcBorders>
              <w:top w:val="single" w:color="000000" w:sz="4" w:space="0"/>
              <w:left w:val="single" w:color="000000" w:sz="4" w:space="0"/>
              <w:bottom w:val="single" w:color="000000" w:sz="4" w:space="0"/>
              <w:right w:val="single" w:color="000000" w:sz="4" w:space="0"/>
            </w:tcBorders>
            <w:noWrap/>
            <w:vAlign w:val="center"/>
          </w:tcPr>
          <w:p w14:paraId="61EC87F7">
            <w:pPr>
              <w:keepNext w:val="0"/>
              <w:keepLines w:val="0"/>
              <w:widowControl/>
              <w:suppressLineNumbers w:val="0"/>
              <w:jc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bidi="ar"/>
              </w:rPr>
              <w:t>日常检测</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02A2C46F">
            <w:pPr>
              <w:keepNext w:val="0"/>
              <w:keepLines w:val="0"/>
              <w:widowControl/>
              <w:suppressLineNumbers w:val="0"/>
              <w:jc w:val="center"/>
              <w:rPr>
                <w:rFonts w:hint="default" w:ascii="Times New Roman" w:hAnsi="Times New Roman" w:eastAsia="宋体" w:cs="Times New Roman"/>
                <w:i w:val="0"/>
                <w:iCs w:val="0"/>
                <w:color w:val="auto"/>
                <w:sz w:val="21"/>
                <w:szCs w:val="21"/>
                <w:highlight w:val="none"/>
                <w:u w:val="none"/>
              </w:rPr>
            </w:pPr>
            <w:r>
              <w:rPr>
                <w:rFonts w:hint="eastAsia" w:cs="Times New Roman"/>
                <w:i w:val="0"/>
                <w:iCs w:val="0"/>
                <w:color w:val="auto"/>
                <w:sz w:val="21"/>
                <w:szCs w:val="21"/>
                <w:highlight w:val="none"/>
                <w:u w:val="none"/>
                <w:lang w:val="en-US" w:eastAsia="zh-CN" w:bidi="ar"/>
              </w:rPr>
              <w:t>21</w:t>
            </w:r>
            <w:r>
              <w:rPr>
                <w:rFonts w:hint="eastAsia" w:ascii="宋体" w:hAnsi="宋体" w:eastAsia="宋体" w:cs="宋体"/>
                <w:i w:val="0"/>
                <w:iCs w:val="0"/>
                <w:color w:val="auto"/>
                <w:sz w:val="21"/>
                <w:szCs w:val="21"/>
                <w:highlight w:val="none"/>
                <w:u w:val="none"/>
                <w:lang w:val="en-US" w:eastAsia="zh-CN" w:bidi="ar"/>
              </w:rPr>
              <w:t>元</w:t>
            </w:r>
            <w:r>
              <w:rPr>
                <w:rFonts w:hint="default" w:ascii="Times New Roman" w:hAnsi="Times New Roman" w:eastAsia="宋体" w:cs="Times New Roman"/>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批</w:t>
            </w:r>
          </w:p>
        </w:tc>
        <w:tc>
          <w:tcPr>
            <w:tcW w:w="858" w:type="pct"/>
            <w:tcBorders>
              <w:top w:val="single" w:color="000000" w:sz="4" w:space="0"/>
              <w:left w:val="single" w:color="000000" w:sz="4" w:space="0"/>
              <w:bottom w:val="single" w:color="000000" w:sz="4" w:space="0"/>
              <w:right w:val="single" w:color="000000" w:sz="4" w:space="0"/>
            </w:tcBorders>
            <w:noWrap/>
            <w:vAlign w:val="center"/>
          </w:tcPr>
          <w:p w14:paraId="141F8FF4">
            <w:pPr>
              <w:keepNext w:val="0"/>
              <w:keepLines w:val="0"/>
              <w:widowControl/>
              <w:suppressLineNumbers w:val="0"/>
              <w:jc w:val="center"/>
              <w:rPr>
                <w:rFonts w:hint="default" w:ascii="Times New Roman" w:hAnsi="Times New Roman" w:eastAsia="宋体" w:cs="Times New Roman"/>
                <w:i w:val="0"/>
                <w:iCs w:val="0"/>
                <w:color w:val="auto"/>
                <w:sz w:val="21"/>
                <w:szCs w:val="21"/>
                <w:highlight w:val="none"/>
                <w:u w:val="none"/>
              </w:rPr>
            </w:pPr>
            <w:r>
              <w:rPr>
                <w:rFonts w:hint="eastAsia" w:cs="Times New Roman"/>
                <w:i w:val="0"/>
                <w:iCs w:val="0"/>
                <w:color w:val="auto"/>
                <w:sz w:val="21"/>
                <w:szCs w:val="21"/>
                <w:highlight w:val="none"/>
                <w:u w:val="none"/>
                <w:lang w:val="en-US" w:eastAsia="zh-CN" w:bidi="ar"/>
              </w:rPr>
              <w:t>108*360</w:t>
            </w:r>
            <w:r>
              <w:rPr>
                <w:rFonts w:hint="eastAsia" w:ascii="宋体" w:hAnsi="宋体" w:eastAsia="宋体" w:cs="宋体"/>
                <w:i w:val="0"/>
                <w:iCs w:val="0"/>
                <w:color w:val="auto"/>
                <w:sz w:val="21"/>
                <w:szCs w:val="21"/>
                <w:highlight w:val="none"/>
                <w:u w:val="none"/>
                <w:lang w:val="en-US" w:eastAsia="zh-CN" w:bidi="ar"/>
              </w:rPr>
              <w:t>批次</w:t>
            </w:r>
          </w:p>
        </w:tc>
        <w:tc>
          <w:tcPr>
            <w:tcW w:w="544" w:type="pct"/>
            <w:tcBorders>
              <w:top w:val="single" w:color="000000" w:sz="4" w:space="0"/>
              <w:left w:val="single" w:color="000000" w:sz="4" w:space="0"/>
              <w:bottom w:val="single" w:color="000000" w:sz="4" w:space="0"/>
              <w:right w:val="single" w:color="000000" w:sz="4" w:space="0"/>
            </w:tcBorders>
            <w:noWrap/>
            <w:vAlign w:val="center"/>
          </w:tcPr>
          <w:p w14:paraId="1E0367B2">
            <w:pPr>
              <w:keepNext w:val="0"/>
              <w:keepLines w:val="0"/>
              <w:widowControl/>
              <w:suppressLineNumbers w:val="0"/>
              <w:jc w:val="center"/>
              <w:rPr>
                <w:rFonts w:hint="default" w:ascii="Times New Roman" w:hAnsi="Times New Roman" w:eastAsia="宋体" w:cs="Times New Roman"/>
                <w:i w:val="0"/>
                <w:iCs w:val="0"/>
                <w:color w:val="auto"/>
                <w:sz w:val="21"/>
                <w:szCs w:val="21"/>
                <w:highlight w:val="none"/>
                <w:u w:val="none"/>
                <w:lang w:val="en-US" w:eastAsia="zh-CN"/>
              </w:rPr>
            </w:pPr>
            <w:r>
              <w:rPr>
                <w:rFonts w:hint="eastAsia" w:cs="Times New Roman"/>
                <w:i w:val="0"/>
                <w:iCs w:val="0"/>
                <w:color w:val="auto"/>
                <w:sz w:val="21"/>
                <w:szCs w:val="21"/>
                <w:highlight w:val="none"/>
                <w:u w:val="none"/>
                <w:lang w:val="en-US" w:eastAsia="zh-CN"/>
              </w:rPr>
              <w:t>816480</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4B6C14D2">
            <w:pPr>
              <w:keepNext w:val="0"/>
              <w:keepLines w:val="0"/>
              <w:widowControl/>
              <w:suppressLineNumbers w:val="0"/>
              <w:jc w:val="center"/>
              <w:rPr>
                <w:rFonts w:hint="default" w:ascii="Times New Roman" w:hAnsi="Times New Roman" w:eastAsia="宋体" w:cs="Times New Roman"/>
                <w:i w:val="0"/>
                <w:iCs w:val="0"/>
                <w:color w:val="auto"/>
                <w:sz w:val="21"/>
                <w:szCs w:val="21"/>
                <w:highlight w:val="none"/>
                <w:u w:val="none"/>
                <w:lang w:val="en-US"/>
              </w:rPr>
            </w:pPr>
            <w:r>
              <w:rPr>
                <w:rFonts w:hint="eastAsia" w:cs="Times New Roman"/>
                <w:i w:val="0"/>
                <w:iCs w:val="0"/>
                <w:color w:val="auto"/>
                <w:sz w:val="21"/>
                <w:szCs w:val="21"/>
                <w:highlight w:val="none"/>
                <w:u w:val="none"/>
                <w:lang w:val="en-US" w:eastAsia="zh-CN" w:bidi="ar"/>
              </w:rPr>
              <w:t>817000</w:t>
            </w:r>
          </w:p>
        </w:tc>
      </w:tr>
      <w:bookmarkEnd w:id="17"/>
    </w:tbl>
    <w:p w14:paraId="41A6E445">
      <w:pPr>
        <w:numPr>
          <w:ilvl w:val="0"/>
          <w:numId w:val="0"/>
        </w:numPr>
        <w:shd w:val="clear" w:color="auto" w:fill="auto"/>
        <w:spacing w:line="360" w:lineRule="auto"/>
        <w:ind w:firstLine="422" w:firstLineChars="200"/>
        <w:rPr>
          <w:rFonts w:hint="eastAsia" w:ascii="宋体" w:hAnsi="宋体" w:cs="宋体"/>
          <w:b/>
          <w:bCs/>
          <w:color w:val="auto"/>
          <w:szCs w:val="21"/>
          <w:highlight w:val="none"/>
          <w:lang w:val="en-US" w:eastAsia="zh-CN"/>
        </w:rPr>
      </w:pPr>
    </w:p>
    <w:p w14:paraId="7904A9A8">
      <w:pPr>
        <w:numPr>
          <w:ilvl w:val="0"/>
          <w:numId w:val="0"/>
        </w:numPr>
        <w:shd w:val="clear" w:color="auto" w:fill="auto"/>
        <w:spacing w:line="360" w:lineRule="auto"/>
        <w:ind w:firstLine="422" w:firstLineChars="200"/>
        <w:rPr>
          <w:rFonts w:hint="eastAsia" w:ascii="宋体" w:hAnsi="宋体" w:cs="宋体"/>
          <w:color w:val="auto"/>
          <w:szCs w:val="21"/>
          <w:highlight w:val="none"/>
          <w:lang w:val="en-US" w:eastAsia="zh-CN"/>
        </w:rPr>
      </w:pPr>
      <w:r>
        <w:rPr>
          <w:rFonts w:hint="eastAsia" w:ascii="宋体" w:hAnsi="宋体" w:cs="宋体"/>
          <w:b/>
          <w:bCs/>
          <w:color w:val="auto"/>
          <w:szCs w:val="21"/>
          <w:highlight w:val="none"/>
          <w:lang w:val="en-US" w:eastAsia="zh-CN"/>
        </w:rPr>
        <w:t>三、</w:t>
      </w:r>
      <w:r>
        <w:rPr>
          <w:rFonts w:hint="eastAsia" w:ascii="宋体" w:hAnsi="宋体" w:cs="宋体"/>
          <w:b/>
          <w:bCs/>
          <w:color w:val="auto"/>
          <w:szCs w:val="21"/>
          <w:highlight w:val="none"/>
        </w:rPr>
        <w:t>服务期限：</w:t>
      </w:r>
      <w:r>
        <w:rPr>
          <w:rFonts w:hint="default" w:ascii="Times New Roman" w:hAnsi="Times New Roman" w:cs="Times New Roman"/>
          <w:szCs w:val="21"/>
          <w:highlight w:val="none"/>
        </w:rPr>
        <w:t>自合同签订之日起</w:t>
      </w:r>
      <w:r>
        <w:rPr>
          <w:rFonts w:hint="eastAsia" w:cs="Times New Roman"/>
          <w:szCs w:val="21"/>
          <w:highlight w:val="none"/>
          <w:lang w:val="en-US" w:eastAsia="zh-CN"/>
        </w:rPr>
        <w:t>1</w:t>
      </w:r>
      <w:r>
        <w:rPr>
          <w:rFonts w:hint="eastAsia" w:cs="Times New Roman"/>
          <w:szCs w:val="21"/>
          <w:highlight w:val="none"/>
          <w:lang w:eastAsia="zh-CN"/>
        </w:rPr>
        <w:t>年</w:t>
      </w:r>
    </w:p>
    <w:p w14:paraId="792C8744">
      <w:pPr>
        <w:numPr>
          <w:ilvl w:val="0"/>
          <w:numId w:val="0"/>
        </w:numPr>
        <w:spacing w:line="360" w:lineRule="auto"/>
        <w:ind w:firstLine="422" w:firstLineChars="200"/>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四、服务检测要求</w:t>
      </w:r>
    </w:p>
    <w:p w14:paraId="2577FC3C">
      <w:pPr>
        <w:pStyle w:val="253"/>
        <w:spacing w:line="360" w:lineRule="auto"/>
        <w:ind w:firstLine="420" w:firstLineChars="200"/>
        <w:rPr>
          <w:rFonts w:hint="eastAsia" w:ascii="宋体" w:hAnsi="宋体" w:eastAsia="宋体" w:cs="宋体"/>
          <w:b w:val="0"/>
          <w:bCs w:val="0"/>
          <w:sz w:val="21"/>
          <w:szCs w:val="21"/>
          <w:highlight w:val="none"/>
        </w:rPr>
      </w:pPr>
      <w:r>
        <w:rPr>
          <w:rFonts w:hint="eastAsia" w:cs="宋体"/>
          <w:b w:val="0"/>
          <w:bCs w:val="0"/>
          <w:sz w:val="21"/>
          <w:szCs w:val="21"/>
          <w:highlight w:val="none"/>
          <w:lang w:val="en-US" w:eastAsia="zh-CN"/>
        </w:rPr>
        <w:t>4.1</w:t>
      </w:r>
      <w:r>
        <w:rPr>
          <w:rFonts w:hint="eastAsia" w:ascii="宋体" w:hAnsi="宋体" w:eastAsia="宋体" w:cs="宋体"/>
          <w:b w:val="0"/>
          <w:bCs w:val="0"/>
          <w:sz w:val="21"/>
          <w:szCs w:val="21"/>
          <w:highlight w:val="none"/>
        </w:rPr>
        <w:t>检测地点</w:t>
      </w:r>
    </w:p>
    <w:p w14:paraId="1C3F3267">
      <w:pPr>
        <w:pStyle w:val="253"/>
        <w:numPr>
          <w:ilvl w:val="0"/>
          <w:numId w:val="0"/>
          <w:ins w:id="2" w:author="三胖子他娘" w:date="2026-03-23T11:11:44Z"/>
        </w:numPr>
        <w:ind w:firstLine="420"/>
        <w:rPr>
          <w:rFonts w:hint="eastAsia"/>
          <w:highlight w:val="none"/>
          <w:lang w:val="en-US" w:eastAsia="zh-CN"/>
        </w:rPr>
      </w:pPr>
      <w:r>
        <w:rPr>
          <w:rFonts w:hint="eastAsia" w:ascii="宋体" w:hAnsi="宋体" w:eastAsia="宋体" w:cs="宋体"/>
          <w:b w:val="0"/>
          <w:bCs w:val="0"/>
          <w:sz w:val="21"/>
          <w:szCs w:val="21"/>
          <w:highlight w:val="none"/>
        </w:rPr>
        <w:t>供应商应在采购人已经建好的食品快检室开展检测工作。</w:t>
      </w:r>
    </w:p>
    <w:p w14:paraId="02E6BC74">
      <w:pPr>
        <w:pStyle w:val="253"/>
        <w:ind w:firstLine="420" w:firstLineChars="200"/>
        <w:rPr>
          <w:rFonts w:hint="eastAsia" w:ascii="宋体" w:hAnsi="宋体" w:eastAsia="宋体" w:cs="宋体"/>
          <w:b w:val="0"/>
          <w:bCs w:val="0"/>
          <w:sz w:val="21"/>
          <w:szCs w:val="21"/>
          <w:highlight w:val="none"/>
        </w:rPr>
      </w:pPr>
      <w:r>
        <w:rPr>
          <w:rFonts w:hint="eastAsia" w:cs="宋体"/>
          <w:b w:val="0"/>
          <w:bCs w:val="0"/>
          <w:sz w:val="21"/>
          <w:szCs w:val="21"/>
          <w:highlight w:val="none"/>
          <w:lang w:val="en-US" w:eastAsia="zh-CN"/>
        </w:rPr>
        <w:t>4.2</w:t>
      </w:r>
      <w:r>
        <w:rPr>
          <w:rFonts w:hint="eastAsia" w:ascii="宋体" w:hAnsi="宋体" w:eastAsia="宋体" w:cs="宋体"/>
          <w:b w:val="0"/>
          <w:bCs w:val="0"/>
          <w:sz w:val="21"/>
          <w:szCs w:val="21"/>
          <w:highlight w:val="none"/>
        </w:rPr>
        <w:t>检测项目</w:t>
      </w:r>
    </w:p>
    <w:p w14:paraId="3023C157">
      <w:pPr>
        <w:pStyle w:val="253"/>
        <w:numPr>
          <w:ilvl w:val="0"/>
          <w:numId w:val="0"/>
        </w:numPr>
        <w:ind w:firstLine="42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抽样品种：以生鲜蔬菜水果、生鲜肉类、水产品类等食用农产品为主，兼顾其他食品。</w:t>
      </w:r>
    </w:p>
    <w:p w14:paraId="34851B06">
      <w:pPr>
        <w:pStyle w:val="253"/>
        <w:numPr>
          <w:ilvl w:val="0"/>
          <w:numId w:val="0"/>
        </w:numPr>
        <w:spacing w:before="0" w:after="0"/>
        <w:ind w:firstLine="420" w:firstLineChars="200"/>
        <w:jc w:val="both"/>
        <w:rPr>
          <w:rFonts w:hint="eastAsia" w:ascii="宋体" w:hAnsi="宋体" w:eastAsia="宋体" w:cs="宋体"/>
          <w:b w:val="0"/>
          <w:bCs w:val="0"/>
          <w:sz w:val="21"/>
          <w:szCs w:val="21"/>
          <w:highlight w:val="none"/>
          <w:lang w:val="en-US"/>
        </w:rPr>
      </w:pPr>
      <w:r>
        <w:rPr>
          <w:rFonts w:hint="eastAsia" w:cs="宋体"/>
          <w:b w:val="0"/>
          <w:bCs w:val="0"/>
          <w:sz w:val="21"/>
          <w:szCs w:val="21"/>
          <w:highlight w:val="none"/>
          <w:lang w:val="en-US" w:eastAsia="zh-CN"/>
        </w:rPr>
        <w:t>4.2.1</w:t>
      </w:r>
      <w:r>
        <w:rPr>
          <w:rFonts w:hint="eastAsia" w:ascii="宋体" w:hAnsi="宋体" w:eastAsia="宋体" w:cs="宋体"/>
          <w:b w:val="0"/>
          <w:bCs w:val="0"/>
          <w:sz w:val="21"/>
          <w:szCs w:val="21"/>
          <w:highlight w:val="none"/>
        </w:rPr>
        <w:t>根据不同季节特点和辖区食品存在的突出问题制定相应的检测工作计划。主要做好农药残留、甲醛、吊白块、二氧化硫、亚硝酸盐、双氧水、硼砂等污染物检测，此外根据实际需要开展兽药、抗生素、有害重金属及其他污染物残留的检测。</w:t>
      </w:r>
    </w:p>
    <w:p w14:paraId="24B084E6">
      <w:pPr>
        <w:numPr>
          <w:ilvl w:val="0"/>
          <w:numId w:val="0"/>
        </w:numPr>
        <w:spacing w:line="360" w:lineRule="auto"/>
        <w:ind w:firstLine="422" w:firstLineChars="2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4.2.2抽样品种及检测项目的种类应根据采购人监管需求进行调整，配置的批次数需合理，既要贴合实际，又要符合监管现状；供应商应无条件配合采购人的动态调整要求。</w:t>
      </w:r>
    </w:p>
    <w:p w14:paraId="16477E73">
      <w:pPr>
        <w:pStyle w:val="253"/>
        <w:shd w:val="clear" w:color="auto" w:fill="auto"/>
        <w:spacing w:line="360" w:lineRule="auto"/>
        <w:ind w:firstLine="420" w:firstLineChars="200"/>
        <w:rPr>
          <w:rFonts w:hint="eastAsia" w:ascii="宋体" w:hAnsi="宋体" w:eastAsia="宋体" w:cs="宋体"/>
          <w:b w:val="0"/>
          <w:bCs w:val="0"/>
          <w:color w:val="auto"/>
          <w:sz w:val="21"/>
          <w:szCs w:val="21"/>
          <w:highlight w:val="none"/>
          <w:lang w:eastAsia="zh-CN"/>
        </w:rPr>
      </w:pPr>
      <w:r>
        <w:rPr>
          <w:rFonts w:hint="eastAsia" w:cs="宋体"/>
          <w:b w:val="0"/>
          <w:bCs w:val="0"/>
          <w:color w:val="auto"/>
          <w:sz w:val="21"/>
          <w:szCs w:val="21"/>
          <w:highlight w:val="none"/>
          <w:lang w:val="en-US" w:eastAsia="zh-CN"/>
        </w:rPr>
        <w:t>4.3</w:t>
      </w:r>
      <w:r>
        <w:rPr>
          <w:rFonts w:hint="eastAsia" w:ascii="宋体" w:hAnsi="宋体" w:eastAsia="宋体" w:cs="宋体"/>
          <w:b w:val="0"/>
          <w:bCs w:val="0"/>
          <w:color w:val="auto"/>
          <w:sz w:val="21"/>
          <w:szCs w:val="21"/>
          <w:highlight w:val="none"/>
        </w:rPr>
        <w:t>食品检测标准（包括但不限于以下内容）</w:t>
      </w:r>
      <w:r>
        <w:rPr>
          <w:rFonts w:hint="eastAsia" w:ascii="宋体" w:hAnsi="宋体" w:cs="宋体"/>
          <w:b w:val="0"/>
          <w:bCs w:val="0"/>
          <w:color w:val="auto"/>
          <w:sz w:val="21"/>
          <w:szCs w:val="21"/>
          <w:highlight w:val="none"/>
          <w:lang w:eastAsia="zh-CN"/>
        </w:rPr>
        <w:t>：</w:t>
      </w:r>
    </w:p>
    <w:p w14:paraId="73573410">
      <w:pPr>
        <w:pStyle w:val="253"/>
        <w:widowControl w:val="0"/>
        <w:numPr>
          <w:ilvl w:val="0"/>
          <w:numId w:val="0"/>
        </w:numPr>
        <w:spacing w:before="0" w:after="0" w:line="360" w:lineRule="auto"/>
        <w:ind w:left="0" w:leftChars="0" w:firstLine="420" w:firstLineChars="200"/>
        <w:jc w:val="both"/>
        <w:rPr>
          <w:rFonts w:hint="eastAsia" w:ascii="宋体" w:hAnsi="宋体" w:cs="宋体"/>
          <w:b w:val="0"/>
          <w:bCs w:val="0"/>
          <w:color w:val="auto"/>
          <w:szCs w:val="21"/>
          <w:highlight w:val="none"/>
        </w:rPr>
      </w:pPr>
      <w:r>
        <w:rPr>
          <w:rFonts w:hint="eastAsia" w:cs="宋体"/>
          <w:b w:val="0"/>
          <w:bCs w:val="0"/>
          <w:color w:val="auto"/>
          <w:sz w:val="21"/>
          <w:szCs w:val="21"/>
          <w:highlight w:val="none"/>
          <w:lang w:val="en-US" w:eastAsia="zh-CN"/>
        </w:rPr>
        <w:t>4.3.1</w:t>
      </w:r>
      <w:r>
        <w:rPr>
          <w:rFonts w:hint="eastAsia" w:ascii="宋体" w:hAnsi="宋体" w:cs="宋体"/>
          <w:b w:val="0"/>
          <w:bCs w:val="0"/>
          <w:color w:val="auto"/>
          <w:szCs w:val="21"/>
          <w:highlight w:val="none"/>
        </w:rPr>
        <w:t>《水产品中孔雀石绿的快速检测胶体金免疫层析法》（KJ201701）；</w:t>
      </w:r>
    </w:p>
    <w:p w14:paraId="7D594FCA">
      <w:pPr>
        <w:pStyle w:val="253"/>
        <w:widowControl w:val="0"/>
        <w:numPr>
          <w:ilvl w:val="0"/>
          <w:numId w:val="0"/>
        </w:numPr>
        <w:spacing w:before="0" w:after="0" w:line="360" w:lineRule="auto"/>
        <w:ind w:left="0" w:leftChars="0" w:firstLine="420" w:firstLineChars="200"/>
        <w:jc w:val="both"/>
        <w:rPr>
          <w:rFonts w:hint="eastAsia" w:ascii="宋体" w:hAnsi="宋体" w:cs="宋体"/>
          <w:b w:val="0"/>
          <w:bCs w:val="0"/>
          <w:color w:val="auto"/>
          <w:szCs w:val="21"/>
          <w:highlight w:val="none"/>
        </w:rPr>
      </w:pPr>
      <w:r>
        <w:rPr>
          <w:rFonts w:hint="eastAsia" w:cs="宋体"/>
          <w:b w:val="0"/>
          <w:bCs w:val="0"/>
          <w:color w:val="auto"/>
          <w:sz w:val="21"/>
          <w:szCs w:val="21"/>
          <w:highlight w:val="none"/>
          <w:lang w:val="en-US" w:eastAsia="zh-CN"/>
        </w:rPr>
        <w:t>4.3.2</w:t>
      </w:r>
      <w:r>
        <w:rPr>
          <w:rFonts w:hint="eastAsia" w:ascii="宋体" w:hAnsi="宋体" w:cs="宋体"/>
          <w:b w:val="0"/>
          <w:bCs w:val="0"/>
          <w:color w:val="auto"/>
          <w:szCs w:val="21"/>
          <w:highlight w:val="none"/>
        </w:rPr>
        <w:t>《食品中呕吐毒素的快速检测胶体金免疫层析法》（KJ201702）；</w:t>
      </w:r>
    </w:p>
    <w:p w14:paraId="55B7E6FA">
      <w:pPr>
        <w:pStyle w:val="253"/>
        <w:widowControl w:val="0"/>
        <w:numPr>
          <w:ilvl w:val="0"/>
          <w:numId w:val="0"/>
        </w:numPr>
        <w:spacing w:before="0" w:after="0" w:line="360" w:lineRule="auto"/>
        <w:ind w:left="0" w:leftChars="0" w:firstLine="420" w:firstLineChars="200"/>
        <w:jc w:val="both"/>
        <w:rPr>
          <w:rFonts w:hint="eastAsia" w:ascii="宋体" w:hAnsi="宋体" w:cs="宋体"/>
          <w:b w:val="0"/>
          <w:bCs w:val="0"/>
          <w:color w:val="auto"/>
          <w:szCs w:val="21"/>
          <w:highlight w:val="none"/>
        </w:rPr>
      </w:pPr>
      <w:r>
        <w:rPr>
          <w:rFonts w:hint="eastAsia" w:cs="宋体"/>
          <w:b w:val="0"/>
          <w:bCs w:val="0"/>
          <w:color w:val="auto"/>
          <w:sz w:val="21"/>
          <w:szCs w:val="21"/>
          <w:highlight w:val="none"/>
          <w:lang w:val="en-US" w:eastAsia="zh-CN"/>
        </w:rPr>
        <w:t>4.3.3</w:t>
      </w:r>
      <w:r>
        <w:rPr>
          <w:rFonts w:hint="eastAsia" w:ascii="宋体" w:hAnsi="宋体" w:cs="宋体"/>
          <w:b w:val="0"/>
          <w:bCs w:val="0"/>
          <w:color w:val="auto"/>
          <w:szCs w:val="21"/>
          <w:highlight w:val="none"/>
        </w:rPr>
        <w:t>《食品中罗丹明B的快速检测胶体金免疫层析法》（KJ201703）；</w:t>
      </w:r>
    </w:p>
    <w:p w14:paraId="60BBB644">
      <w:pPr>
        <w:pStyle w:val="253"/>
        <w:widowControl w:val="0"/>
        <w:numPr>
          <w:ilvl w:val="0"/>
          <w:numId w:val="0"/>
        </w:numPr>
        <w:spacing w:before="0" w:after="0" w:line="360" w:lineRule="auto"/>
        <w:ind w:left="0" w:leftChars="0" w:firstLine="420" w:firstLineChars="200"/>
        <w:jc w:val="both"/>
        <w:rPr>
          <w:rFonts w:hint="eastAsia" w:ascii="宋体" w:hAnsi="宋体" w:cs="宋体"/>
          <w:b w:val="0"/>
          <w:bCs w:val="0"/>
          <w:color w:val="auto"/>
          <w:szCs w:val="21"/>
          <w:highlight w:val="none"/>
        </w:rPr>
      </w:pPr>
      <w:r>
        <w:rPr>
          <w:rFonts w:hint="eastAsia" w:cs="宋体"/>
          <w:b w:val="0"/>
          <w:bCs w:val="0"/>
          <w:color w:val="auto"/>
          <w:sz w:val="21"/>
          <w:szCs w:val="21"/>
          <w:highlight w:val="none"/>
          <w:lang w:val="en-US" w:eastAsia="zh-CN"/>
        </w:rPr>
        <w:t>4.3.4</w:t>
      </w:r>
      <w:r>
        <w:rPr>
          <w:rFonts w:hint="eastAsia" w:ascii="宋体" w:hAnsi="宋体" w:cs="宋体"/>
          <w:b w:val="0"/>
          <w:bCs w:val="0"/>
          <w:color w:val="auto"/>
          <w:szCs w:val="21"/>
          <w:highlight w:val="none"/>
        </w:rPr>
        <w:t>《食品中亚硝酸盐的快速检测盐酸萘乙二胺法》（KJ201704）；</w:t>
      </w:r>
    </w:p>
    <w:p w14:paraId="2CD56CE1">
      <w:pPr>
        <w:pStyle w:val="253"/>
        <w:widowControl w:val="0"/>
        <w:numPr>
          <w:ilvl w:val="0"/>
          <w:numId w:val="0"/>
        </w:numPr>
        <w:spacing w:before="0" w:after="0" w:line="360" w:lineRule="auto"/>
        <w:ind w:left="0" w:leftChars="0" w:firstLine="420" w:firstLineChars="200"/>
        <w:jc w:val="both"/>
        <w:rPr>
          <w:rFonts w:hint="eastAsia" w:ascii="宋体" w:hAnsi="宋体" w:cs="宋体"/>
          <w:b w:val="0"/>
          <w:bCs w:val="0"/>
          <w:color w:val="auto"/>
          <w:szCs w:val="21"/>
          <w:highlight w:val="none"/>
        </w:rPr>
      </w:pPr>
      <w:r>
        <w:rPr>
          <w:rFonts w:hint="eastAsia" w:cs="宋体"/>
          <w:b w:val="0"/>
          <w:bCs w:val="0"/>
          <w:color w:val="auto"/>
          <w:sz w:val="21"/>
          <w:szCs w:val="21"/>
          <w:highlight w:val="none"/>
          <w:lang w:val="en-US" w:eastAsia="zh-CN"/>
        </w:rPr>
        <w:t>4.3.5</w:t>
      </w:r>
      <w:r>
        <w:rPr>
          <w:rFonts w:hint="eastAsia" w:ascii="宋体" w:hAnsi="宋体" w:cs="宋体"/>
          <w:b w:val="0"/>
          <w:bCs w:val="0"/>
          <w:color w:val="auto"/>
          <w:szCs w:val="21"/>
          <w:highlight w:val="none"/>
        </w:rPr>
        <w:t>《水产品中硝基呋喃类代谢物的快速检测胶体金免疫层析</w:t>
      </w:r>
      <w:r>
        <w:rPr>
          <w:rFonts w:hint="eastAsia" w:cs="宋体"/>
          <w:b w:val="0"/>
          <w:bCs w:val="0"/>
          <w:color w:val="auto"/>
          <w:szCs w:val="21"/>
          <w:highlight w:val="none"/>
          <w:lang w:eastAsia="zh-CN"/>
        </w:rPr>
        <w:t>》</w:t>
      </w:r>
      <w:r>
        <w:rPr>
          <w:rFonts w:hint="eastAsia" w:ascii="宋体" w:hAnsi="宋体" w:cs="宋体"/>
          <w:b w:val="0"/>
          <w:bCs w:val="0"/>
          <w:color w:val="auto"/>
          <w:szCs w:val="21"/>
          <w:highlight w:val="none"/>
        </w:rPr>
        <w:t>（KJ201705）；</w:t>
      </w:r>
    </w:p>
    <w:p w14:paraId="37ED53C6">
      <w:pPr>
        <w:pStyle w:val="253"/>
        <w:widowControl w:val="0"/>
        <w:numPr>
          <w:ilvl w:val="0"/>
          <w:numId w:val="0"/>
        </w:numPr>
        <w:spacing w:before="0" w:after="0" w:line="360" w:lineRule="auto"/>
        <w:ind w:left="0" w:leftChars="0" w:firstLine="420" w:firstLineChars="200"/>
        <w:jc w:val="both"/>
        <w:rPr>
          <w:rFonts w:hint="eastAsia" w:ascii="宋体" w:hAnsi="宋体" w:cs="宋体"/>
          <w:b w:val="0"/>
          <w:bCs w:val="0"/>
          <w:color w:val="auto"/>
          <w:szCs w:val="21"/>
          <w:highlight w:val="none"/>
        </w:rPr>
      </w:pPr>
      <w:r>
        <w:rPr>
          <w:rFonts w:hint="eastAsia" w:cs="宋体"/>
          <w:b w:val="0"/>
          <w:bCs w:val="0"/>
          <w:color w:val="auto"/>
          <w:sz w:val="21"/>
          <w:szCs w:val="21"/>
          <w:highlight w:val="none"/>
          <w:lang w:val="en-US" w:eastAsia="zh-CN"/>
        </w:rPr>
        <w:t>4.3.6</w:t>
      </w:r>
      <w:r>
        <w:rPr>
          <w:rFonts w:hint="eastAsia" w:ascii="宋体" w:hAnsi="宋体" w:cs="宋体"/>
          <w:b w:val="0"/>
          <w:bCs w:val="0"/>
          <w:color w:val="auto"/>
          <w:szCs w:val="21"/>
          <w:highlight w:val="none"/>
        </w:rPr>
        <w:t>《动物源性食品中克伦特罗、莱克多巴胺及沙丁胺醇的快速检测胶体金免疫层析法</w:t>
      </w:r>
      <w:r>
        <w:rPr>
          <w:rFonts w:hint="eastAsia" w:cs="宋体"/>
          <w:b w:val="0"/>
          <w:bCs w:val="0"/>
          <w:color w:val="auto"/>
          <w:szCs w:val="21"/>
          <w:highlight w:val="none"/>
          <w:lang w:eastAsia="zh-CN"/>
        </w:rPr>
        <w:t>》</w:t>
      </w:r>
      <w:r>
        <w:rPr>
          <w:rFonts w:hint="eastAsia" w:ascii="宋体" w:hAnsi="宋体" w:cs="宋体"/>
          <w:b w:val="0"/>
          <w:bCs w:val="0"/>
          <w:color w:val="auto"/>
          <w:szCs w:val="21"/>
          <w:highlight w:val="none"/>
        </w:rPr>
        <w:t>（KJ201706）；</w:t>
      </w:r>
    </w:p>
    <w:p w14:paraId="6074CA9F">
      <w:pPr>
        <w:pStyle w:val="253"/>
        <w:widowControl w:val="0"/>
        <w:numPr>
          <w:ilvl w:val="0"/>
          <w:numId w:val="0"/>
        </w:numPr>
        <w:spacing w:before="0" w:after="0" w:line="360" w:lineRule="auto"/>
        <w:ind w:left="0" w:leftChars="0" w:firstLine="420" w:firstLineChars="200"/>
        <w:jc w:val="both"/>
        <w:rPr>
          <w:rFonts w:hint="eastAsia" w:ascii="宋体" w:hAnsi="宋体" w:cs="宋体"/>
          <w:b w:val="0"/>
          <w:bCs w:val="0"/>
          <w:color w:val="auto"/>
          <w:szCs w:val="21"/>
          <w:highlight w:val="none"/>
        </w:rPr>
      </w:pPr>
      <w:r>
        <w:rPr>
          <w:rFonts w:hint="eastAsia" w:cs="宋体"/>
          <w:b w:val="0"/>
          <w:bCs w:val="0"/>
          <w:color w:val="auto"/>
          <w:sz w:val="21"/>
          <w:szCs w:val="21"/>
          <w:highlight w:val="none"/>
          <w:lang w:val="en-US" w:eastAsia="zh-CN"/>
        </w:rPr>
        <w:t>4.3.7</w:t>
      </w:r>
      <w:r>
        <w:rPr>
          <w:rFonts w:hint="eastAsia" w:ascii="宋体" w:hAnsi="宋体" w:cs="宋体"/>
          <w:b w:val="0"/>
          <w:bCs w:val="0"/>
          <w:color w:val="auto"/>
          <w:szCs w:val="21"/>
          <w:highlight w:val="none"/>
        </w:rPr>
        <w:t>《食品中吗啡、可待因成分的快速检测胶体金免疫层析法</w:t>
      </w:r>
      <w:r>
        <w:rPr>
          <w:rFonts w:hint="eastAsia" w:cs="宋体"/>
          <w:b w:val="0"/>
          <w:bCs w:val="0"/>
          <w:color w:val="auto"/>
          <w:szCs w:val="21"/>
          <w:highlight w:val="none"/>
          <w:lang w:eastAsia="zh-CN"/>
        </w:rPr>
        <w:t>》</w:t>
      </w:r>
      <w:r>
        <w:rPr>
          <w:rFonts w:hint="eastAsia" w:ascii="宋体" w:hAnsi="宋体" w:cs="宋体"/>
          <w:b w:val="0"/>
          <w:bCs w:val="0"/>
          <w:color w:val="auto"/>
          <w:szCs w:val="21"/>
          <w:highlight w:val="none"/>
        </w:rPr>
        <w:t>（KJ201707）；</w:t>
      </w:r>
    </w:p>
    <w:p w14:paraId="57AD0B81">
      <w:pPr>
        <w:pStyle w:val="253"/>
        <w:widowControl w:val="0"/>
        <w:numPr>
          <w:ilvl w:val="0"/>
          <w:numId w:val="0"/>
        </w:numPr>
        <w:spacing w:before="0" w:after="0" w:line="360" w:lineRule="auto"/>
        <w:ind w:left="0" w:leftChars="0" w:firstLine="420" w:firstLineChars="200"/>
        <w:jc w:val="both"/>
        <w:rPr>
          <w:rFonts w:hint="eastAsia" w:ascii="宋体" w:hAnsi="宋体" w:cs="宋体"/>
          <w:b w:val="0"/>
          <w:bCs w:val="0"/>
          <w:color w:val="auto"/>
          <w:szCs w:val="21"/>
          <w:highlight w:val="none"/>
        </w:rPr>
      </w:pPr>
      <w:r>
        <w:rPr>
          <w:rFonts w:hint="eastAsia" w:cs="宋体"/>
          <w:b w:val="0"/>
          <w:bCs w:val="0"/>
          <w:color w:val="auto"/>
          <w:sz w:val="21"/>
          <w:szCs w:val="21"/>
          <w:highlight w:val="none"/>
          <w:lang w:val="en-US" w:eastAsia="zh-CN"/>
        </w:rPr>
        <w:t>4.3.8</w:t>
      </w:r>
      <w:r>
        <w:rPr>
          <w:rFonts w:hint="eastAsia" w:ascii="宋体" w:hAnsi="宋体" w:cs="宋体"/>
          <w:b w:val="0"/>
          <w:bCs w:val="0"/>
          <w:color w:val="auto"/>
          <w:szCs w:val="21"/>
          <w:highlight w:val="none"/>
        </w:rPr>
        <w:t>《食用油中黄曲霉毒素B1的快速检测胶体金免疫层析法</w:t>
      </w:r>
      <w:r>
        <w:rPr>
          <w:rFonts w:hint="eastAsia" w:cs="宋体"/>
          <w:b w:val="0"/>
          <w:bCs w:val="0"/>
          <w:color w:val="auto"/>
          <w:szCs w:val="21"/>
          <w:highlight w:val="none"/>
          <w:lang w:eastAsia="zh-CN"/>
        </w:rPr>
        <w:t>》</w:t>
      </w:r>
      <w:r>
        <w:rPr>
          <w:rFonts w:hint="eastAsia" w:ascii="宋体" w:hAnsi="宋体" w:cs="宋体"/>
          <w:b w:val="0"/>
          <w:bCs w:val="0"/>
          <w:color w:val="auto"/>
          <w:szCs w:val="21"/>
          <w:highlight w:val="none"/>
        </w:rPr>
        <w:t>（KJ201708）；</w:t>
      </w:r>
    </w:p>
    <w:p w14:paraId="63293CF8">
      <w:pPr>
        <w:pStyle w:val="253"/>
        <w:widowControl w:val="0"/>
        <w:numPr>
          <w:ilvl w:val="0"/>
          <w:numId w:val="0"/>
        </w:numPr>
        <w:spacing w:before="0" w:after="0" w:line="360" w:lineRule="auto"/>
        <w:ind w:left="0" w:leftChars="0" w:firstLine="420" w:firstLineChars="200"/>
        <w:jc w:val="both"/>
        <w:rPr>
          <w:rFonts w:hint="eastAsia" w:ascii="宋体" w:hAnsi="宋体" w:cs="宋体"/>
          <w:b w:val="0"/>
          <w:bCs w:val="0"/>
          <w:color w:val="auto"/>
          <w:szCs w:val="21"/>
          <w:highlight w:val="none"/>
        </w:rPr>
      </w:pPr>
      <w:r>
        <w:rPr>
          <w:rFonts w:hint="eastAsia" w:cs="宋体"/>
          <w:b w:val="0"/>
          <w:bCs w:val="0"/>
          <w:color w:val="auto"/>
          <w:sz w:val="21"/>
          <w:szCs w:val="21"/>
          <w:highlight w:val="none"/>
          <w:lang w:val="en-US" w:eastAsia="zh-CN"/>
        </w:rPr>
        <w:t>4.3.</w:t>
      </w:r>
      <w:r>
        <w:rPr>
          <w:rFonts w:hint="eastAsia" w:cs="宋体"/>
          <w:b w:val="0"/>
          <w:bCs w:val="0"/>
          <w:szCs w:val="21"/>
          <w:highlight w:val="none"/>
          <w:lang w:val="en-US" w:eastAsia="zh-CN"/>
        </w:rPr>
        <w:t>9</w:t>
      </w:r>
      <w:r>
        <w:rPr>
          <w:rFonts w:hint="eastAsia" w:ascii="宋体" w:hAnsi="宋体" w:cs="宋体"/>
          <w:b w:val="0"/>
          <w:bCs w:val="0"/>
          <w:color w:val="auto"/>
          <w:szCs w:val="21"/>
          <w:highlight w:val="none"/>
        </w:rPr>
        <w:t>《液体乳中黄曲霉毒素M1的快速检测胶体金免疫层析法</w:t>
      </w:r>
      <w:r>
        <w:rPr>
          <w:rFonts w:hint="eastAsia" w:cs="宋体"/>
          <w:b w:val="0"/>
          <w:bCs w:val="0"/>
          <w:color w:val="auto"/>
          <w:szCs w:val="21"/>
          <w:highlight w:val="none"/>
          <w:lang w:eastAsia="zh-CN"/>
        </w:rPr>
        <w:t>》</w:t>
      </w:r>
      <w:r>
        <w:rPr>
          <w:rFonts w:hint="eastAsia" w:ascii="宋体" w:hAnsi="宋体" w:cs="宋体"/>
          <w:b w:val="0"/>
          <w:bCs w:val="0"/>
          <w:color w:val="auto"/>
          <w:szCs w:val="21"/>
          <w:highlight w:val="none"/>
        </w:rPr>
        <w:t>（KJ201709）；</w:t>
      </w:r>
    </w:p>
    <w:p w14:paraId="5011C348">
      <w:pPr>
        <w:numPr>
          <w:ilvl w:val="0"/>
          <w:numId w:val="0"/>
        </w:numPr>
        <w:spacing w:line="360" w:lineRule="auto"/>
        <w:ind w:firstLine="420" w:firstLineChars="200"/>
        <w:rPr>
          <w:rFonts w:hint="eastAsia" w:ascii="宋体" w:hAnsi="宋体" w:eastAsia="宋体" w:cs="宋体"/>
          <w:b w:val="0"/>
          <w:bCs w:val="0"/>
          <w:color w:val="auto"/>
          <w:kern w:val="28"/>
          <w:sz w:val="21"/>
          <w:szCs w:val="21"/>
          <w:highlight w:val="none"/>
          <w:lang w:val="en-US" w:eastAsia="zh-CN" w:bidi="ar-SA"/>
        </w:rPr>
      </w:pPr>
      <w:r>
        <w:rPr>
          <w:rFonts w:hint="eastAsia" w:ascii="宋体" w:hAnsi="宋体" w:eastAsia="宋体" w:cs="宋体"/>
          <w:b w:val="0"/>
          <w:bCs w:val="0"/>
          <w:color w:val="auto"/>
          <w:szCs w:val="21"/>
          <w:highlight w:val="none"/>
          <w:lang w:val="en-US" w:eastAsia="zh-CN"/>
        </w:rPr>
        <w:t>4.3.10《蔬菜中敌百虫、丙溴磷、灭多威等5种农药残留快速检测方法》</w:t>
      </w:r>
      <w:r>
        <w:rPr>
          <w:rFonts w:hint="eastAsia" w:ascii="宋体" w:hAnsi="宋体" w:eastAsia="宋体" w:cs="宋体"/>
          <w:b w:val="0"/>
          <w:bCs w:val="0"/>
          <w:color w:val="auto"/>
          <w:kern w:val="28"/>
          <w:sz w:val="21"/>
          <w:szCs w:val="21"/>
          <w:highlight w:val="none"/>
          <w:lang w:val="en-US" w:eastAsia="zh-CN" w:bidi="ar-SA"/>
        </w:rPr>
        <w:t>已废止或部分失效，本项目涉及该类检测时，应优先适用现行有效的国家规定食品检测标准（方法）或甲方指定的现行有效检测方法；</w:t>
      </w:r>
    </w:p>
    <w:p w14:paraId="2A6DB3EF">
      <w:pPr>
        <w:pStyle w:val="253"/>
        <w:widowControl w:val="0"/>
        <w:numPr>
          <w:ilvl w:val="0"/>
          <w:numId w:val="0"/>
        </w:numPr>
        <w:spacing w:before="0" w:after="0" w:line="360" w:lineRule="auto"/>
        <w:ind w:left="0" w:leftChars="0" w:firstLine="420" w:firstLineChars="200"/>
        <w:jc w:val="both"/>
        <w:rPr>
          <w:rFonts w:hint="eastAsia" w:ascii="宋体" w:hAnsi="宋体" w:cs="宋体"/>
          <w:b w:val="0"/>
          <w:bCs w:val="0"/>
          <w:color w:val="auto"/>
          <w:szCs w:val="21"/>
          <w:highlight w:val="none"/>
        </w:rPr>
      </w:pPr>
      <w:r>
        <w:rPr>
          <w:rFonts w:hint="eastAsia" w:cs="宋体"/>
          <w:b w:val="0"/>
          <w:bCs w:val="0"/>
          <w:color w:val="auto"/>
          <w:sz w:val="21"/>
          <w:szCs w:val="21"/>
          <w:highlight w:val="none"/>
          <w:lang w:val="en-US" w:eastAsia="zh-CN"/>
        </w:rPr>
        <w:t>4.3.</w:t>
      </w:r>
      <w:r>
        <w:rPr>
          <w:rFonts w:hint="eastAsia" w:ascii="宋体" w:hAnsi="宋体" w:cs="宋体"/>
          <w:b w:val="0"/>
          <w:bCs w:val="0"/>
          <w:color w:val="auto"/>
          <w:szCs w:val="21"/>
          <w:highlight w:val="none"/>
        </w:rPr>
        <w:t>11《辣椒制品中苏丹红Ⅰ的快速检测胶体金免疫层析法》（KJ201801）；</w:t>
      </w:r>
    </w:p>
    <w:p w14:paraId="1CD65DFC">
      <w:pPr>
        <w:pStyle w:val="253"/>
        <w:widowControl w:val="0"/>
        <w:numPr>
          <w:ilvl w:val="0"/>
          <w:numId w:val="0"/>
        </w:numPr>
        <w:spacing w:before="0" w:after="0" w:line="360" w:lineRule="auto"/>
        <w:ind w:left="0" w:leftChars="0" w:firstLine="420" w:firstLineChars="200"/>
        <w:jc w:val="both"/>
        <w:rPr>
          <w:rFonts w:hint="eastAsia" w:ascii="宋体" w:hAnsi="宋体" w:cs="宋体"/>
          <w:b w:val="0"/>
          <w:bCs w:val="0"/>
          <w:color w:val="auto"/>
          <w:szCs w:val="21"/>
          <w:highlight w:val="none"/>
        </w:rPr>
      </w:pPr>
      <w:r>
        <w:rPr>
          <w:rFonts w:hint="eastAsia" w:cs="宋体"/>
          <w:b w:val="0"/>
          <w:bCs w:val="0"/>
          <w:color w:val="auto"/>
          <w:sz w:val="21"/>
          <w:szCs w:val="21"/>
          <w:highlight w:val="none"/>
          <w:lang w:val="en-US" w:eastAsia="zh-CN"/>
        </w:rPr>
        <w:t>4.3.</w:t>
      </w:r>
      <w:r>
        <w:rPr>
          <w:rFonts w:hint="eastAsia" w:ascii="宋体" w:hAnsi="宋体" w:cs="宋体"/>
          <w:b w:val="0"/>
          <w:bCs w:val="0"/>
          <w:color w:val="auto"/>
          <w:szCs w:val="21"/>
          <w:highlight w:val="none"/>
        </w:rPr>
        <w:t>12《水发产品中甲醛的快速检测》（KJ201904）</w:t>
      </w:r>
    </w:p>
    <w:p w14:paraId="53306827">
      <w:pPr>
        <w:pStyle w:val="253"/>
        <w:widowControl w:val="0"/>
        <w:numPr>
          <w:ilvl w:val="0"/>
          <w:numId w:val="0"/>
        </w:numPr>
        <w:spacing w:before="0" w:after="0" w:line="360" w:lineRule="auto"/>
        <w:ind w:left="0" w:leftChars="0" w:firstLine="420" w:firstLineChars="200"/>
        <w:jc w:val="both"/>
        <w:rPr>
          <w:rFonts w:hint="eastAsia" w:ascii="宋体" w:hAnsi="宋体" w:cs="宋体"/>
          <w:b w:val="0"/>
          <w:bCs w:val="0"/>
          <w:color w:val="auto"/>
          <w:szCs w:val="21"/>
          <w:highlight w:val="none"/>
        </w:rPr>
      </w:pPr>
      <w:r>
        <w:rPr>
          <w:rFonts w:hint="eastAsia" w:cs="宋体"/>
          <w:b w:val="0"/>
          <w:bCs w:val="0"/>
          <w:color w:val="auto"/>
          <w:sz w:val="21"/>
          <w:szCs w:val="21"/>
          <w:highlight w:val="none"/>
          <w:lang w:val="en-US" w:eastAsia="zh-CN"/>
        </w:rPr>
        <w:t>4.3.</w:t>
      </w:r>
      <w:r>
        <w:rPr>
          <w:rFonts w:hint="eastAsia" w:ascii="宋体" w:hAnsi="宋体" w:cs="宋体"/>
          <w:b w:val="0"/>
          <w:bCs w:val="0"/>
          <w:color w:val="auto"/>
          <w:szCs w:val="21"/>
          <w:highlight w:val="none"/>
        </w:rPr>
        <w:t>13《水产品中氯霉素的快速检测 胶体金免疫层析法》（KJ201905）；</w:t>
      </w:r>
    </w:p>
    <w:p w14:paraId="209A5557">
      <w:pPr>
        <w:pStyle w:val="253"/>
        <w:widowControl w:val="0"/>
        <w:numPr>
          <w:ilvl w:val="0"/>
          <w:numId w:val="0"/>
        </w:numPr>
        <w:spacing w:before="0" w:after="0" w:line="360" w:lineRule="auto"/>
        <w:ind w:left="0" w:leftChars="0" w:firstLine="420" w:firstLineChars="200"/>
        <w:jc w:val="both"/>
        <w:rPr>
          <w:rFonts w:hint="eastAsia" w:ascii="宋体" w:hAnsi="宋体" w:cs="宋体"/>
          <w:b w:val="0"/>
          <w:bCs w:val="0"/>
          <w:color w:val="auto"/>
          <w:szCs w:val="21"/>
          <w:highlight w:val="none"/>
        </w:rPr>
      </w:pPr>
      <w:r>
        <w:rPr>
          <w:rFonts w:hint="eastAsia" w:cs="宋体"/>
          <w:b w:val="0"/>
          <w:bCs w:val="0"/>
          <w:color w:val="auto"/>
          <w:sz w:val="21"/>
          <w:szCs w:val="21"/>
          <w:highlight w:val="none"/>
          <w:lang w:val="en-US" w:eastAsia="zh-CN"/>
        </w:rPr>
        <w:t>4.3.</w:t>
      </w:r>
      <w:r>
        <w:rPr>
          <w:rFonts w:hint="eastAsia" w:ascii="宋体" w:hAnsi="宋体" w:cs="宋体"/>
          <w:b w:val="0"/>
          <w:bCs w:val="0"/>
          <w:color w:val="auto"/>
          <w:szCs w:val="21"/>
          <w:highlight w:val="none"/>
        </w:rPr>
        <w:t xml:space="preserve">14《动物源性食品中喹诺酮类物质的快速检测 胶体金免疫层析法》（KJ201906）； </w:t>
      </w:r>
    </w:p>
    <w:p w14:paraId="34983409">
      <w:pPr>
        <w:pStyle w:val="253"/>
        <w:widowControl w:val="0"/>
        <w:numPr>
          <w:ilvl w:val="0"/>
          <w:numId w:val="0"/>
        </w:numPr>
        <w:spacing w:before="0" w:after="0" w:line="360" w:lineRule="auto"/>
        <w:ind w:left="0" w:leftChars="0" w:firstLine="420" w:firstLineChars="200"/>
        <w:jc w:val="both"/>
        <w:rPr>
          <w:rFonts w:hint="eastAsia" w:ascii="宋体" w:hAnsi="宋体" w:cs="宋体"/>
          <w:b w:val="0"/>
          <w:bCs w:val="0"/>
          <w:color w:val="auto"/>
          <w:szCs w:val="21"/>
          <w:highlight w:val="none"/>
        </w:rPr>
      </w:pPr>
      <w:r>
        <w:rPr>
          <w:rFonts w:hint="eastAsia" w:cs="宋体"/>
          <w:b w:val="0"/>
          <w:bCs w:val="0"/>
          <w:color w:val="auto"/>
          <w:sz w:val="21"/>
          <w:szCs w:val="21"/>
          <w:highlight w:val="none"/>
          <w:lang w:val="en-US" w:eastAsia="zh-CN"/>
        </w:rPr>
        <w:t>4.3.</w:t>
      </w:r>
      <w:r>
        <w:rPr>
          <w:rFonts w:hint="eastAsia" w:ascii="宋体" w:hAnsi="宋体" w:cs="宋体"/>
          <w:b w:val="0"/>
          <w:bCs w:val="0"/>
          <w:color w:val="auto"/>
          <w:szCs w:val="21"/>
          <w:highlight w:val="none"/>
        </w:rPr>
        <w:t>15《液体乳中三聚氰胺的快速检测 胶体金免疫层析法》（KJ201907）；</w:t>
      </w:r>
    </w:p>
    <w:p w14:paraId="283B2AA3">
      <w:pPr>
        <w:pStyle w:val="253"/>
        <w:widowControl w:val="0"/>
        <w:numPr>
          <w:ilvl w:val="0"/>
          <w:numId w:val="0"/>
        </w:numPr>
        <w:spacing w:before="0" w:after="0" w:line="360" w:lineRule="auto"/>
        <w:ind w:left="0" w:leftChars="0" w:firstLine="420" w:firstLineChars="200"/>
        <w:jc w:val="both"/>
        <w:rPr>
          <w:rFonts w:hint="eastAsia" w:ascii="宋体" w:hAnsi="宋体" w:cs="宋体"/>
          <w:b w:val="0"/>
          <w:bCs w:val="0"/>
          <w:color w:val="auto"/>
          <w:szCs w:val="21"/>
          <w:highlight w:val="none"/>
        </w:rPr>
      </w:pPr>
      <w:r>
        <w:rPr>
          <w:rFonts w:hint="eastAsia" w:cs="宋体"/>
          <w:b w:val="0"/>
          <w:bCs w:val="0"/>
          <w:color w:val="auto"/>
          <w:sz w:val="21"/>
          <w:szCs w:val="21"/>
          <w:highlight w:val="none"/>
          <w:lang w:val="en-US" w:eastAsia="zh-CN"/>
        </w:rPr>
        <w:t>4.3.</w:t>
      </w:r>
      <w:r>
        <w:rPr>
          <w:rFonts w:hint="eastAsia" w:ascii="宋体" w:hAnsi="宋体" w:cs="宋体"/>
          <w:b w:val="0"/>
          <w:bCs w:val="0"/>
          <w:color w:val="auto"/>
          <w:szCs w:val="21"/>
          <w:highlight w:val="none"/>
        </w:rPr>
        <w:t>16《液体乳中三聚氰胺的快速检测 拉曼光谱法》（KJ201908）；</w:t>
      </w:r>
    </w:p>
    <w:p w14:paraId="710EF53D">
      <w:pPr>
        <w:pStyle w:val="253"/>
        <w:widowControl w:val="0"/>
        <w:numPr>
          <w:ilvl w:val="0"/>
          <w:numId w:val="0"/>
        </w:numPr>
        <w:spacing w:before="0" w:after="0" w:line="360" w:lineRule="auto"/>
        <w:ind w:left="0" w:leftChars="0" w:firstLine="420" w:firstLineChars="200"/>
        <w:jc w:val="both"/>
        <w:rPr>
          <w:rFonts w:hint="eastAsia" w:ascii="宋体" w:hAnsi="宋体" w:cs="宋体"/>
          <w:b w:val="0"/>
          <w:bCs w:val="0"/>
          <w:color w:val="auto"/>
          <w:szCs w:val="21"/>
          <w:highlight w:val="none"/>
        </w:rPr>
      </w:pPr>
      <w:r>
        <w:rPr>
          <w:rFonts w:hint="eastAsia" w:cs="宋体"/>
          <w:b w:val="0"/>
          <w:bCs w:val="0"/>
          <w:color w:val="auto"/>
          <w:sz w:val="21"/>
          <w:szCs w:val="21"/>
          <w:highlight w:val="none"/>
          <w:lang w:val="en-US" w:eastAsia="zh-CN"/>
        </w:rPr>
        <w:t>4.3.</w:t>
      </w:r>
      <w:r>
        <w:rPr>
          <w:rFonts w:hint="eastAsia" w:ascii="宋体" w:hAnsi="宋体" w:cs="宋体"/>
          <w:b w:val="0"/>
          <w:bCs w:val="0"/>
          <w:color w:val="auto"/>
          <w:szCs w:val="21"/>
          <w:highlight w:val="none"/>
        </w:rPr>
        <w:t>17《食品中硼酸的快速检测 姜黄素比色法》（KJ201909）；</w:t>
      </w:r>
    </w:p>
    <w:p w14:paraId="00AFA91F">
      <w:pPr>
        <w:pStyle w:val="253"/>
        <w:widowControl w:val="0"/>
        <w:numPr>
          <w:ilvl w:val="0"/>
          <w:numId w:val="0"/>
        </w:numPr>
        <w:spacing w:before="0" w:after="0" w:line="360" w:lineRule="auto"/>
        <w:ind w:left="0" w:leftChars="0" w:firstLine="420" w:firstLineChars="200"/>
        <w:jc w:val="both"/>
        <w:rPr>
          <w:rFonts w:hint="eastAsia" w:ascii="宋体" w:hAnsi="宋体" w:cs="宋体"/>
          <w:b w:val="0"/>
          <w:bCs w:val="0"/>
          <w:color w:val="auto"/>
          <w:szCs w:val="21"/>
          <w:highlight w:val="none"/>
        </w:rPr>
      </w:pPr>
      <w:r>
        <w:rPr>
          <w:rFonts w:hint="eastAsia" w:cs="宋体"/>
          <w:b w:val="0"/>
          <w:bCs w:val="0"/>
          <w:color w:val="auto"/>
          <w:sz w:val="21"/>
          <w:szCs w:val="21"/>
          <w:highlight w:val="none"/>
          <w:lang w:val="en-US" w:eastAsia="zh-CN"/>
        </w:rPr>
        <w:t>4.3.</w:t>
      </w:r>
      <w:r>
        <w:rPr>
          <w:rFonts w:hint="eastAsia" w:ascii="宋体" w:hAnsi="宋体" w:cs="宋体"/>
          <w:b w:val="0"/>
          <w:bCs w:val="0"/>
          <w:color w:val="auto"/>
          <w:szCs w:val="21"/>
          <w:highlight w:val="none"/>
        </w:rPr>
        <w:t>18《食用油中苯并（a）芘的快速检测 胶体金免疫层析法》（KJ201910）；</w:t>
      </w:r>
    </w:p>
    <w:p w14:paraId="7EB33083">
      <w:pPr>
        <w:pStyle w:val="253"/>
        <w:widowControl w:val="0"/>
        <w:numPr>
          <w:ilvl w:val="0"/>
          <w:numId w:val="0"/>
        </w:numPr>
        <w:spacing w:before="0" w:after="0" w:line="360" w:lineRule="auto"/>
        <w:ind w:left="0" w:leftChars="0" w:firstLine="420" w:firstLineChars="200"/>
        <w:jc w:val="both"/>
        <w:rPr>
          <w:rFonts w:hint="eastAsia" w:ascii="宋体" w:hAnsi="宋体" w:cs="宋体"/>
          <w:b w:val="0"/>
          <w:bCs w:val="0"/>
          <w:color w:val="auto"/>
          <w:szCs w:val="21"/>
          <w:highlight w:val="none"/>
        </w:rPr>
      </w:pPr>
      <w:r>
        <w:rPr>
          <w:rFonts w:hint="eastAsia" w:cs="宋体"/>
          <w:b w:val="0"/>
          <w:bCs w:val="0"/>
          <w:color w:val="auto"/>
          <w:sz w:val="21"/>
          <w:szCs w:val="21"/>
          <w:highlight w:val="none"/>
          <w:lang w:val="en-US" w:eastAsia="zh-CN"/>
        </w:rPr>
        <w:t>4.3.</w:t>
      </w:r>
      <w:r>
        <w:rPr>
          <w:rFonts w:hint="eastAsia" w:ascii="宋体" w:hAnsi="宋体" w:cs="宋体"/>
          <w:b w:val="0"/>
          <w:bCs w:val="0"/>
          <w:color w:val="auto"/>
          <w:szCs w:val="21"/>
          <w:highlight w:val="none"/>
        </w:rPr>
        <w:t>19《食用植物油酸价、过氧化值的快速检测》（KJ201911）；</w:t>
      </w:r>
    </w:p>
    <w:p w14:paraId="010EC69D">
      <w:pPr>
        <w:pStyle w:val="253"/>
        <w:widowControl w:val="0"/>
        <w:numPr>
          <w:ilvl w:val="0"/>
          <w:numId w:val="0"/>
        </w:numPr>
        <w:spacing w:before="0" w:after="0" w:line="360" w:lineRule="auto"/>
        <w:ind w:left="0" w:leftChars="0" w:firstLine="420" w:firstLineChars="200"/>
        <w:jc w:val="both"/>
        <w:rPr>
          <w:rFonts w:hint="eastAsia" w:ascii="宋体" w:hAnsi="宋体" w:cs="宋体"/>
          <w:b w:val="0"/>
          <w:bCs w:val="0"/>
          <w:color w:val="auto"/>
          <w:szCs w:val="21"/>
          <w:highlight w:val="none"/>
        </w:rPr>
      </w:pPr>
      <w:r>
        <w:rPr>
          <w:rFonts w:hint="eastAsia" w:cs="宋体"/>
          <w:b w:val="0"/>
          <w:bCs w:val="0"/>
          <w:color w:val="auto"/>
          <w:sz w:val="21"/>
          <w:szCs w:val="21"/>
          <w:highlight w:val="none"/>
          <w:lang w:val="en-US" w:eastAsia="zh-CN"/>
        </w:rPr>
        <w:t>4.3.</w:t>
      </w:r>
      <w:r>
        <w:rPr>
          <w:rFonts w:hint="eastAsia" w:ascii="宋体" w:hAnsi="宋体" w:cs="宋体"/>
          <w:b w:val="0"/>
          <w:bCs w:val="0"/>
          <w:color w:val="auto"/>
          <w:szCs w:val="21"/>
          <w:highlight w:val="none"/>
        </w:rPr>
        <w:t>20《白酒中甲醇的快速检测》（KJ201912）；</w:t>
      </w:r>
    </w:p>
    <w:p w14:paraId="6EDEFF0B">
      <w:pPr>
        <w:pStyle w:val="253"/>
        <w:widowControl w:val="0"/>
        <w:numPr>
          <w:ilvl w:val="0"/>
          <w:numId w:val="0"/>
        </w:numPr>
        <w:spacing w:before="0" w:after="0" w:line="360" w:lineRule="auto"/>
        <w:ind w:left="0" w:leftChars="0" w:firstLine="420" w:firstLineChars="200"/>
        <w:jc w:val="both"/>
        <w:rPr>
          <w:rFonts w:hint="eastAsia" w:ascii="宋体" w:hAnsi="宋体" w:cs="宋体"/>
          <w:b w:val="0"/>
          <w:bCs w:val="0"/>
          <w:color w:val="auto"/>
          <w:szCs w:val="21"/>
          <w:highlight w:val="none"/>
        </w:rPr>
      </w:pPr>
      <w:r>
        <w:rPr>
          <w:rFonts w:hint="eastAsia" w:cs="宋体"/>
          <w:b w:val="0"/>
          <w:bCs w:val="0"/>
          <w:color w:val="auto"/>
          <w:sz w:val="21"/>
          <w:szCs w:val="21"/>
          <w:highlight w:val="none"/>
          <w:lang w:val="en-US" w:eastAsia="zh-CN"/>
        </w:rPr>
        <w:t>4.3.</w:t>
      </w:r>
      <w:r>
        <w:rPr>
          <w:rFonts w:hint="eastAsia" w:ascii="宋体" w:hAnsi="宋体" w:cs="宋体"/>
          <w:b w:val="0"/>
          <w:bCs w:val="0"/>
          <w:color w:val="auto"/>
          <w:szCs w:val="21"/>
          <w:highlight w:val="none"/>
        </w:rPr>
        <w:t>21《食品中玉米赤霉烯酮快速检测 胶体金免疫层析法》（KJ201913）</w:t>
      </w:r>
    </w:p>
    <w:p w14:paraId="4777A93F">
      <w:pPr>
        <w:pStyle w:val="253"/>
        <w:widowControl w:val="0"/>
        <w:numPr>
          <w:ilvl w:val="0"/>
          <w:numId w:val="0"/>
        </w:numPr>
        <w:spacing w:before="0" w:after="0" w:line="360" w:lineRule="auto"/>
        <w:ind w:left="0" w:leftChars="0" w:firstLine="420" w:firstLineChars="200"/>
        <w:jc w:val="both"/>
        <w:rPr>
          <w:rFonts w:hint="eastAsia" w:ascii="宋体" w:hAnsi="宋体" w:cs="宋体"/>
          <w:b w:val="0"/>
          <w:bCs w:val="0"/>
          <w:color w:val="auto"/>
          <w:szCs w:val="21"/>
          <w:highlight w:val="none"/>
        </w:rPr>
      </w:pPr>
      <w:r>
        <w:rPr>
          <w:rFonts w:hint="eastAsia" w:cs="宋体"/>
          <w:b w:val="0"/>
          <w:bCs w:val="0"/>
          <w:color w:val="auto"/>
          <w:sz w:val="21"/>
          <w:szCs w:val="21"/>
          <w:highlight w:val="none"/>
          <w:lang w:val="en-US" w:eastAsia="zh-CN"/>
        </w:rPr>
        <w:t>4.3.</w:t>
      </w:r>
      <w:r>
        <w:rPr>
          <w:rFonts w:hint="eastAsia" w:ascii="宋体" w:hAnsi="宋体" w:cs="宋体"/>
          <w:b w:val="0"/>
          <w:bCs w:val="0"/>
          <w:color w:val="auto"/>
          <w:szCs w:val="21"/>
          <w:highlight w:val="none"/>
        </w:rPr>
        <w:t>22《食品中赭曲霉毒素A的快速检测 胶体金免疫层析法》（KJ202101）</w:t>
      </w:r>
    </w:p>
    <w:p w14:paraId="294ACA9B">
      <w:pPr>
        <w:pStyle w:val="253"/>
        <w:widowControl w:val="0"/>
        <w:numPr>
          <w:ilvl w:val="0"/>
          <w:numId w:val="0"/>
        </w:numPr>
        <w:spacing w:before="0" w:after="0" w:line="360" w:lineRule="auto"/>
        <w:ind w:left="0" w:leftChars="0" w:firstLine="420" w:firstLineChars="200"/>
        <w:jc w:val="both"/>
        <w:rPr>
          <w:rFonts w:hint="eastAsia" w:ascii="宋体" w:hAnsi="宋体" w:cs="宋体"/>
          <w:b w:val="0"/>
          <w:bCs w:val="0"/>
          <w:szCs w:val="21"/>
          <w:highlight w:val="none"/>
        </w:rPr>
      </w:pPr>
      <w:r>
        <w:rPr>
          <w:rFonts w:hint="eastAsia" w:cs="宋体"/>
          <w:b w:val="0"/>
          <w:bCs w:val="0"/>
          <w:color w:val="auto"/>
          <w:sz w:val="21"/>
          <w:szCs w:val="21"/>
          <w:highlight w:val="none"/>
          <w:lang w:val="en-US" w:eastAsia="zh-CN"/>
        </w:rPr>
        <w:t>4.3.</w:t>
      </w:r>
      <w:r>
        <w:rPr>
          <w:rFonts w:hint="eastAsia" w:ascii="宋体" w:hAnsi="宋体" w:cs="宋体"/>
          <w:b w:val="0"/>
          <w:bCs w:val="0"/>
          <w:color w:val="auto"/>
          <w:szCs w:val="21"/>
          <w:highlight w:val="none"/>
        </w:rPr>
        <w:t>23《水产品中组胺的快速检测》（KJ202102）</w:t>
      </w:r>
    </w:p>
    <w:p w14:paraId="004B039F">
      <w:pPr>
        <w:pStyle w:val="253"/>
        <w:widowControl w:val="0"/>
        <w:numPr>
          <w:ilvl w:val="0"/>
          <w:numId w:val="0"/>
        </w:numPr>
        <w:spacing w:before="0" w:after="0" w:line="360" w:lineRule="auto"/>
        <w:ind w:left="0" w:leftChars="0" w:firstLine="420" w:firstLineChars="200"/>
        <w:jc w:val="both"/>
        <w:rPr>
          <w:rFonts w:hint="eastAsia" w:ascii="宋体" w:hAnsi="宋体" w:cs="宋体"/>
          <w:b w:val="0"/>
          <w:bCs w:val="0"/>
          <w:szCs w:val="21"/>
          <w:highlight w:val="none"/>
        </w:rPr>
      </w:pPr>
      <w:r>
        <w:rPr>
          <w:rFonts w:hint="eastAsia" w:cs="宋体"/>
          <w:b w:val="0"/>
          <w:bCs w:val="0"/>
          <w:color w:val="auto"/>
          <w:sz w:val="21"/>
          <w:szCs w:val="21"/>
          <w:highlight w:val="none"/>
          <w:lang w:val="en-US" w:eastAsia="zh-CN"/>
        </w:rPr>
        <w:t>4.3.</w:t>
      </w:r>
      <w:r>
        <w:rPr>
          <w:rFonts w:hint="eastAsia" w:ascii="宋体" w:hAnsi="宋体" w:cs="宋体"/>
          <w:b w:val="0"/>
          <w:bCs w:val="0"/>
          <w:szCs w:val="21"/>
          <w:highlight w:val="none"/>
        </w:rPr>
        <w:t>2</w:t>
      </w:r>
      <w:r>
        <w:rPr>
          <w:rFonts w:hint="eastAsia" w:cs="宋体"/>
          <w:b w:val="0"/>
          <w:bCs w:val="0"/>
          <w:szCs w:val="21"/>
          <w:highlight w:val="none"/>
          <w:lang w:val="en-US" w:eastAsia="zh-CN"/>
        </w:rPr>
        <w:t>4</w:t>
      </w:r>
      <w:r>
        <w:rPr>
          <w:rFonts w:hint="eastAsia" w:ascii="宋体" w:hAnsi="宋体" w:cs="宋体"/>
          <w:b w:val="0"/>
          <w:bCs w:val="0"/>
          <w:color w:val="auto"/>
          <w:szCs w:val="21"/>
          <w:highlight w:val="none"/>
        </w:rPr>
        <w:t>《食用植物油中天然辣椒素的快速检测 荧光免疫层析法》（KJ202103）</w:t>
      </w:r>
    </w:p>
    <w:p w14:paraId="41239879">
      <w:pPr>
        <w:pStyle w:val="253"/>
        <w:widowControl w:val="0"/>
        <w:numPr>
          <w:ilvl w:val="0"/>
          <w:numId w:val="0"/>
        </w:numPr>
        <w:spacing w:before="0" w:after="0" w:line="360" w:lineRule="auto"/>
        <w:ind w:left="0" w:leftChars="0" w:firstLine="420" w:firstLineChars="200"/>
        <w:jc w:val="both"/>
        <w:rPr>
          <w:rFonts w:hint="eastAsia" w:ascii="宋体" w:hAnsi="宋体" w:cs="宋体"/>
          <w:b w:val="0"/>
          <w:bCs w:val="0"/>
          <w:szCs w:val="21"/>
          <w:highlight w:val="none"/>
        </w:rPr>
      </w:pPr>
      <w:r>
        <w:rPr>
          <w:rFonts w:hint="eastAsia" w:cs="宋体"/>
          <w:b w:val="0"/>
          <w:bCs w:val="0"/>
          <w:color w:val="auto"/>
          <w:sz w:val="21"/>
          <w:szCs w:val="21"/>
          <w:highlight w:val="none"/>
          <w:lang w:val="en-US" w:eastAsia="zh-CN"/>
        </w:rPr>
        <w:t>4.3.</w:t>
      </w:r>
      <w:r>
        <w:rPr>
          <w:rFonts w:hint="eastAsia" w:ascii="宋体" w:hAnsi="宋体" w:cs="宋体"/>
          <w:b w:val="0"/>
          <w:bCs w:val="0"/>
          <w:szCs w:val="21"/>
          <w:highlight w:val="none"/>
        </w:rPr>
        <w:t>2</w:t>
      </w:r>
      <w:r>
        <w:rPr>
          <w:rFonts w:hint="eastAsia" w:cs="宋体"/>
          <w:b w:val="0"/>
          <w:bCs w:val="0"/>
          <w:szCs w:val="21"/>
          <w:highlight w:val="none"/>
          <w:lang w:val="en-US" w:eastAsia="zh-CN"/>
        </w:rPr>
        <w:t>5</w:t>
      </w:r>
      <w:r>
        <w:rPr>
          <w:rFonts w:hint="eastAsia" w:ascii="宋体" w:hAnsi="宋体" w:cs="宋体"/>
          <w:b w:val="0"/>
          <w:bCs w:val="0"/>
          <w:color w:val="auto"/>
          <w:szCs w:val="21"/>
          <w:highlight w:val="none"/>
        </w:rPr>
        <w:t>《面制品中铝残留量的快速检测 比色法》（KJ202104）</w:t>
      </w:r>
    </w:p>
    <w:p w14:paraId="0F509820">
      <w:pPr>
        <w:pStyle w:val="253"/>
        <w:widowControl w:val="0"/>
        <w:numPr>
          <w:ilvl w:val="0"/>
          <w:numId w:val="0"/>
        </w:numPr>
        <w:spacing w:before="0" w:after="0" w:line="360" w:lineRule="auto"/>
        <w:ind w:left="0" w:leftChars="0" w:firstLine="420" w:firstLineChars="200"/>
        <w:jc w:val="both"/>
        <w:rPr>
          <w:rFonts w:hint="eastAsia" w:ascii="宋体" w:hAnsi="宋体" w:cs="宋体"/>
          <w:b w:val="0"/>
          <w:bCs w:val="0"/>
          <w:color w:val="auto"/>
          <w:szCs w:val="21"/>
          <w:highlight w:val="none"/>
        </w:rPr>
      </w:pPr>
      <w:r>
        <w:rPr>
          <w:rFonts w:hint="eastAsia" w:cs="宋体"/>
          <w:b w:val="0"/>
          <w:bCs w:val="0"/>
          <w:color w:val="auto"/>
          <w:sz w:val="21"/>
          <w:szCs w:val="21"/>
          <w:highlight w:val="none"/>
          <w:lang w:val="en-US" w:eastAsia="zh-CN"/>
        </w:rPr>
        <w:t>4.3.</w:t>
      </w:r>
      <w:r>
        <w:rPr>
          <w:rFonts w:hint="eastAsia" w:ascii="宋体" w:hAnsi="宋体" w:cs="宋体"/>
          <w:b w:val="0"/>
          <w:bCs w:val="0"/>
          <w:color w:val="auto"/>
          <w:szCs w:val="21"/>
          <w:highlight w:val="none"/>
        </w:rPr>
        <w:t>26《水产品中地西泮残留的快速检测 胶体金免疫层析法》（KJ202105）</w:t>
      </w:r>
    </w:p>
    <w:p w14:paraId="5C2A6501">
      <w:pPr>
        <w:pStyle w:val="253"/>
        <w:numPr>
          <w:ilvl w:val="0"/>
          <w:numId w:val="0"/>
        </w:numPr>
        <w:spacing w:before="0" w:after="0"/>
        <w:ind w:left="0" w:leftChars="0" w:firstLine="420" w:firstLineChars="200"/>
        <w:jc w:val="both"/>
        <w:rPr>
          <w:rFonts w:hint="eastAsia" w:cs="宋体"/>
          <w:b w:val="0"/>
          <w:bCs w:val="0"/>
          <w:color w:val="auto"/>
          <w:highlight w:val="none"/>
        </w:rPr>
      </w:pPr>
      <w:r>
        <w:rPr>
          <w:rFonts w:hint="eastAsia" w:cs="宋体"/>
          <w:b w:val="0"/>
          <w:bCs w:val="0"/>
          <w:color w:val="auto"/>
          <w:sz w:val="21"/>
          <w:szCs w:val="21"/>
          <w:highlight w:val="none"/>
          <w:lang w:val="en-US" w:eastAsia="zh-CN"/>
        </w:rPr>
        <w:t>4.3.</w:t>
      </w:r>
      <w:r>
        <w:rPr>
          <w:rFonts w:hint="eastAsia" w:ascii="宋体" w:hAnsi="宋体" w:cs="宋体"/>
          <w:b w:val="0"/>
          <w:bCs w:val="0"/>
          <w:color w:val="auto"/>
          <w:szCs w:val="21"/>
          <w:highlight w:val="none"/>
        </w:rPr>
        <w:t>27《玉米及其碾磨加工品中伏马毒素的快速检测 胶体金免疫层析法》（KJ202106）</w:t>
      </w:r>
    </w:p>
    <w:p w14:paraId="344C485A">
      <w:pPr>
        <w:pStyle w:val="253"/>
        <w:keepNext w:val="0"/>
        <w:keepLines w:val="0"/>
        <w:pageBreakBefore w:val="0"/>
        <w:widowControl w:val="0"/>
        <w:numPr>
          <w:ilvl w:val="0"/>
          <w:numId w:val="0"/>
        </w:numPr>
        <w:spacing w:before="0" w:after="0" w:line="360" w:lineRule="auto"/>
        <w:ind w:right="0" w:firstLine="420"/>
        <w:jc w:val="both"/>
        <w:rPr>
          <w:rFonts w:hint="eastAsia" w:ascii="宋体" w:hAnsi="宋体" w:cs="宋体"/>
          <w:b w:val="0"/>
          <w:bCs w:val="0"/>
          <w:szCs w:val="21"/>
          <w:highlight w:val="none"/>
        </w:rPr>
      </w:pPr>
      <w:r>
        <w:rPr>
          <w:rFonts w:hint="eastAsia" w:ascii="宋体" w:hAnsi="宋体" w:cs="宋体"/>
          <w:b w:val="0"/>
          <w:bCs w:val="0"/>
          <w:color w:val="auto"/>
          <w:szCs w:val="21"/>
          <w:highlight w:val="none"/>
        </w:rPr>
        <w:t>注：本项目所涉及的相关检测项目若有国家规定食品检测标准（方法）时，优先采用。若无相关食品检测标准（方法），检测人员应按照采购人指定或行业通用方法执行。</w:t>
      </w:r>
    </w:p>
    <w:p w14:paraId="2F25B0CC">
      <w:pPr>
        <w:pStyle w:val="253"/>
        <w:keepNext w:val="0"/>
        <w:keepLines w:val="0"/>
        <w:pageBreakBefore w:val="0"/>
        <w:widowControl w:val="0"/>
        <w:numPr>
          <w:ilvl w:val="-1"/>
          <w:numId w:val="0"/>
        </w:numPr>
        <w:spacing w:before="0" w:after="0" w:line="360" w:lineRule="auto"/>
        <w:ind w:right="0" w:firstLine="420" w:firstLineChars="200"/>
        <w:jc w:val="both"/>
        <w:rPr>
          <w:rFonts w:hint="eastAsia" w:ascii="宋体" w:hAnsi="宋体" w:eastAsia="宋体" w:cs="宋体"/>
          <w:b w:val="0"/>
          <w:bCs w:val="0"/>
          <w:sz w:val="21"/>
          <w:szCs w:val="21"/>
          <w:highlight w:val="none"/>
          <w:lang w:val="en-US" w:eastAsia="zh-CN"/>
        </w:rPr>
      </w:pPr>
      <w:r>
        <w:rPr>
          <w:rFonts w:hint="eastAsia" w:cs="宋体"/>
          <w:b w:val="0"/>
          <w:bCs w:val="0"/>
          <w:sz w:val="21"/>
          <w:szCs w:val="21"/>
          <w:highlight w:val="none"/>
          <w:lang w:val="en-US" w:eastAsia="zh-CN"/>
        </w:rPr>
        <w:t>4.4</w:t>
      </w:r>
      <w:r>
        <w:rPr>
          <w:rFonts w:hint="eastAsia" w:ascii="宋体" w:hAnsi="宋体" w:eastAsia="宋体" w:cs="宋体"/>
          <w:b w:val="0"/>
          <w:bCs w:val="0"/>
          <w:sz w:val="21"/>
          <w:szCs w:val="21"/>
          <w:highlight w:val="none"/>
          <w:lang w:val="en-US" w:eastAsia="zh-CN"/>
        </w:rPr>
        <w:t>采样要求</w:t>
      </w:r>
    </w:p>
    <w:p w14:paraId="7DDFFD10">
      <w:pPr>
        <w:pStyle w:val="253"/>
        <w:keepNext w:val="0"/>
        <w:keepLines w:val="0"/>
        <w:pageBreakBefore w:val="0"/>
        <w:widowControl w:val="0"/>
        <w:numPr>
          <w:ilvl w:val="0"/>
          <w:numId w:val="0"/>
        </w:numPr>
        <w:spacing w:before="0" w:after="0" w:line="360" w:lineRule="auto"/>
        <w:ind w:left="0" w:right="0" w:firstLine="420" w:firstLineChars="200"/>
        <w:jc w:val="both"/>
        <w:rPr>
          <w:rFonts w:hint="eastAsia" w:ascii="宋体" w:hAnsi="宋体" w:eastAsia="宋体" w:cs="宋体"/>
          <w:b w:val="0"/>
          <w:bCs w:val="0"/>
          <w:color w:val="auto"/>
          <w:sz w:val="21"/>
          <w:szCs w:val="21"/>
          <w:highlight w:val="none"/>
          <w:lang w:val="en-US" w:eastAsia="zh-CN"/>
        </w:rPr>
      </w:pPr>
      <w:r>
        <w:rPr>
          <w:rFonts w:hint="eastAsia" w:cs="宋体"/>
          <w:b w:val="0"/>
          <w:bCs w:val="0"/>
          <w:sz w:val="21"/>
          <w:szCs w:val="21"/>
          <w:highlight w:val="none"/>
          <w:lang w:val="en-US" w:eastAsia="zh-CN"/>
        </w:rPr>
        <w:t>4.4.</w:t>
      </w:r>
      <w:r>
        <w:rPr>
          <w:rFonts w:hint="eastAsia" w:ascii="宋体" w:hAnsi="宋体" w:eastAsia="宋体" w:cs="宋体"/>
          <w:b w:val="0"/>
          <w:bCs w:val="0"/>
          <w:color w:val="auto"/>
          <w:sz w:val="21"/>
          <w:szCs w:val="21"/>
          <w:highlight w:val="none"/>
          <w:lang w:val="en-US" w:eastAsia="zh-CN"/>
        </w:rPr>
        <w:t>1应</w:t>
      </w:r>
      <w:r>
        <w:rPr>
          <w:rFonts w:hint="eastAsia" w:ascii="宋体" w:hAnsi="宋体" w:eastAsia="宋体" w:cs="宋体"/>
          <w:b w:val="0"/>
          <w:bCs w:val="0"/>
          <w:color w:val="auto"/>
          <w:sz w:val="21"/>
          <w:szCs w:val="21"/>
          <w:highlight w:val="none"/>
          <w:lang w:val="en-US"/>
        </w:rPr>
        <w:t>采用随机方式抽取规定数量的样品，以保证样品具有代表性</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rPr>
        <w:t>数量能够满足快速检测项目对样品量的需要，抽样量原则应不少于50克，并按价支付买样费用</w:t>
      </w:r>
      <w:r>
        <w:rPr>
          <w:rFonts w:hint="eastAsia" w:ascii="宋体" w:hAnsi="宋体" w:eastAsia="宋体" w:cs="宋体"/>
          <w:b w:val="0"/>
          <w:bCs w:val="0"/>
          <w:color w:val="auto"/>
          <w:sz w:val="21"/>
          <w:szCs w:val="21"/>
          <w:highlight w:val="none"/>
          <w:lang w:val="en-US" w:eastAsia="zh-CN"/>
        </w:rPr>
        <w:t>；</w:t>
      </w:r>
    </w:p>
    <w:p w14:paraId="4839244F">
      <w:pPr>
        <w:pStyle w:val="253"/>
        <w:keepNext w:val="0"/>
        <w:keepLines w:val="0"/>
        <w:pageBreakBefore w:val="0"/>
        <w:widowControl w:val="0"/>
        <w:numPr>
          <w:ilvl w:val="0"/>
          <w:numId w:val="0"/>
        </w:numPr>
        <w:spacing w:before="0" w:after="0" w:line="360" w:lineRule="auto"/>
        <w:ind w:left="0" w:right="0" w:firstLine="420" w:firstLineChars="200"/>
        <w:jc w:val="both"/>
        <w:rPr>
          <w:rFonts w:hint="eastAsia" w:ascii="宋体" w:hAnsi="宋体" w:eastAsia="宋体" w:cs="宋体"/>
          <w:b w:val="0"/>
          <w:bCs w:val="0"/>
          <w:sz w:val="21"/>
          <w:szCs w:val="21"/>
          <w:highlight w:val="none"/>
          <w:lang w:val="en-US" w:eastAsia="zh-CN"/>
        </w:rPr>
      </w:pPr>
      <w:r>
        <w:rPr>
          <w:rFonts w:hint="eastAsia" w:cs="宋体"/>
          <w:b w:val="0"/>
          <w:bCs w:val="0"/>
          <w:sz w:val="21"/>
          <w:szCs w:val="21"/>
          <w:highlight w:val="none"/>
          <w:lang w:val="en-US" w:eastAsia="zh-CN"/>
        </w:rPr>
        <w:t>4.4.</w:t>
      </w:r>
      <w:r>
        <w:rPr>
          <w:rFonts w:hint="eastAsia" w:ascii="宋体" w:hAnsi="宋体" w:eastAsia="宋体" w:cs="宋体"/>
          <w:b w:val="0"/>
          <w:bCs w:val="0"/>
          <w:color w:val="auto"/>
          <w:sz w:val="21"/>
          <w:szCs w:val="21"/>
          <w:highlight w:val="none"/>
          <w:lang w:val="en-US" w:eastAsia="zh-CN"/>
        </w:rPr>
        <w:t>2各农贸市场</w:t>
      </w:r>
      <w:r>
        <w:rPr>
          <w:rFonts w:hint="eastAsia" w:cs="宋体"/>
          <w:b w:val="0"/>
          <w:bCs w:val="0"/>
          <w:color w:val="auto"/>
          <w:sz w:val="21"/>
          <w:szCs w:val="21"/>
          <w:highlight w:val="none"/>
          <w:lang w:val="en-US" w:eastAsia="zh-CN"/>
        </w:rPr>
        <w:t>（商超）</w:t>
      </w:r>
      <w:r>
        <w:rPr>
          <w:rFonts w:hint="eastAsia" w:ascii="宋体" w:hAnsi="宋体" w:eastAsia="宋体" w:cs="宋体"/>
          <w:b w:val="0"/>
          <w:bCs w:val="0"/>
          <w:color w:val="auto"/>
          <w:sz w:val="21"/>
          <w:szCs w:val="21"/>
          <w:highlight w:val="none"/>
          <w:lang w:val="en-US" w:eastAsia="zh-CN"/>
        </w:rPr>
        <w:t>快检室</w:t>
      </w:r>
      <w:r>
        <w:rPr>
          <w:rFonts w:hint="eastAsia" w:ascii="宋体" w:hAnsi="宋体" w:eastAsia="宋体" w:cs="宋体"/>
          <w:b w:val="0"/>
          <w:bCs w:val="0"/>
          <w:color w:val="auto"/>
          <w:sz w:val="21"/>
          <w:szCs w:val="21"/>
          <w:highlight w:val="none"/>
          <w:lang w:val="en-US"/>
        </w:rPr>
        <w:t>对抽样、检测过程应</w:t>
      </w:r>
      <w:r>
        <w:rPr>
          <w:rFonts w:hint="eastAsia" w:ascii="宋体" w:hAnsi="宋体" w:eastAsia="宋体" w:cs="宋体"/>
          <w:b w:val="0"/>
          <w:bCs w:val="0"/>
          <w:color w:val="auto"/>
          <w:sz w:val="21"/>
          <w:szCs w:val="21"/>
          <w:highlight w:val="none"/>
          <w:lang w:val="en-US" w:eastAsia="zh-CN"/>
        </w:rPr>
        <w:t>适当</w:t>
      </w:r>
      <w:r>
        <w:rPr>
          <w:rFonts w:hint="eastAsia" w:ascii="宋体" w:hAnsi="宋体" w:eastAsia="宋体" w:cs="宋体"/>
          <w:b w:val="0"/>
          <w:bCs w:val="0"/>
          <w:color w:val="auto"/>
          <w:sz w:val="21"/>
          <w:szCs w:val="21"/>
          <w:highlight w:val="none"/>
          <w:lang w:val="en-US"/>
        </w:rPr>
        <w:t>录音录像，动态保存48小时，并具备数据导出功能，以便对抽样、检测过程的跟踪以及判定是否规范作依据</w:t>
      </w:r>
      <w:r>
        <w:rPr>
          <w:rFonts w:hint="eastAsia" w:ascii="宋体" w:hAnsi="宋体" w:eastAsia="宋体" w:cs="宋体"/>
          <w:b w:val="0"/>
          <w:bCs w:val="0"/>
          <w:color w:val="auto"/>
          <w:sz w:val="21"/>
          <w:szCs w:val="21"/>
          <w:highlight w:val="none"/>
          <w:lang w:val="en-US" w:eastAsia="zh-CN"/>
        </w:rPr>
        <w:t>。</w:t>
      </w:r>
    </w:p>
    <w:p w14:paraId="4D8C8CAD">
      <w:pPr>
        <w:pStyle w:val="253"/>
        <w:keepNext w:val="0"/>
        <w:keepLines w:val="0"/>
        <w:pageBreakBefore w:val="0"/>
        <w:widowControl w:val="0"/>
        <w:numPr>
          <w:ilvl w:val="-1"/>
          <w:numId w:val="0"/>
        </w:numPr>
        <w:spacing w:before="0" w:after="0" w:line="360" w:lineRule="auto"/>
        <w:ind w:right="0" w:firstLine="420" w:firstLineChars="200"/>
        <w:jc w:val="both"/>
        <w:rPr>
          <w:rFonts w:hint="eastAsia" w:ascii="宋体" w:hAnsi="宋体" w:eastAsia="宋体" w:cs="宋体"/>
          <w:b w:val="0"/>
          <w:bCs w:val="0"/>
          <w:sz w:val="21"/>
          <w:szCs w:val="21"/>
          <w:highlight w:val="none"/>
          <w:lang w:val="en-US" w:eastAsia="zh-CN"/>
        </w:rPr>
      </w:pPr>
      <w:r>
        <w:rPr>
          <w:rFonts w:hint="eastAsia" w:cs="宋体"/>
          <w:b w:val="0"/>
          <w:bCs w:val="0"/>
          <w:sz w:val="21"/>
          <w:szCs w:val="21"/>
          <w:highlight w:val="none"/>
          <w:lang w:val="en-US" w:eastAsia="zh-CN"/>
        </w:rPr>
        <w:t>4.5</w:t>
      </w:r>
      <w:r>
        <w:rPr>
          <w:rFonts w:hint="eastAsia" w:ascii="宋体" w:hAnsi="宋体" w:eastAsia="宋体" w:cs="宋体"/>
          <w:b w:val="0"/>
          <w:bCs w:val="0"/>
          <w:sz w:val="21"/>
          <w:szCs w:val="21"/>
          <w:highlight w:val="none"/>
          <w:lang w:val="en-US" w:eastAsia="zh-CN"/>
        </w:rPr>
        <w:t>仪器设备要求：</w:t>
      </w:r>
    </w:p>
    <w:p w14:paraId="7A49D6F5">
      <w:pPr>
        <w:pStyle w:val="253"/>
        <w:keepNext w:val="0"/>
        <w:keepLines w:val="0"/>
        <w:pageBreakBefore w:val="0"/>
        <w:widowControl w:val="0"/>
        <w:numPr>
          <w:ilvl w:val="0"/>
          <w:numId w:val="0"/>
        </w:numPr>
        <w:spacing w:before="0" w:line="360" w:lineRule="auto"/>
        <w:ind w:right="0" w:firstLine="420" w:firstLineChars="200"/>
        <w:jc w:val="both"/>
        <w:rPr>
          <w:rFonts w:hint="eastAsia" w:ascii="宋体" w:hAnsi="宋体" w:eastAsia="宋体" w:cs="宋体"/>
          <w:b w:val="0"/>
          <w:bCs w:val="0"/>
          <w:sz w:val="21"/>
          <w:szCs w:val="21"/>
          <w:highlight w:val="none"/>
          <w:lang w:val="en-US" w:eastAsia="zh-CN"/>
        </w:rPr>
      </w:pPr>
      <w:r>
        <w:rPr>
          <w:rFonts w:hint="eastAsia" w:cs="宋体"/>
          <w:b w:val="0"/>
          <w:bCs w:val="0"/>
          <w:sz w:val="21"/>
          <w:szCs w:val="21"/>
          <w:highlight w:val="none"/>
          <w:lang w:val="en-US" w:eastAsia="zh-CN"/>
        </w:rPr>
        <w:t>4.5.</w:t>
      </w:r>
      <w:r>
        <w:rPr>
          <w:rFonts w:hint="eastAsia" w:ascii="宋体" w:hAnsi="宋体" w:eastAsia="宋体" w:cs="宋体"/>
          <w:b w:val="0"/>
          <w:bCs w:val="0"/>
          <w:sz w:val="21"/>
          <w:szCs w:val="21"/>
          <w:highlight w:val="none"/>
          <w:lang w:val="en-US" w:eastAsia="zh-CN"/>
        </w:rPr>
        <w:t>1供应商可使用快检室现有检测仪器及设备进行检测，推荐供应商自带检测仪器及设备，服务期满自带仪器设备可带走。供应商如使用快检室已有的快速检测设备，应先对该设备进行调试，直至达到相关技术标准要求；自带设备应满足现场快速检测需要及相关安全质量技术标准要求，灵敏度高，结果可靠，可对接上级部门快检系统。</w:t>
      </w:r>
    </w:p>
    <w:p w14:paraId="727E35FD">
      <w:pPr>
        <w:pStyle w:val="253"/>
        <w:keepNext w:val="0"/>
        <w:keepLines w:val="0"/>
        <w:pageBreakBefore w:val="0"/>
        <w:widowControl w:val="0"/>
        <w:numPr>
          <w:ilvl w:val="0"/>
          <w:numId w:val="0"/>
        </w:numPr>
        <w:spacing w:before="0" w:line="360" w:lineRule="auto"/>
        <w:ind w:right="0" w:firstLine="420" w:firstLineChars="200"/>
        <w:jc w:val="both"/>
        <w:rPr>
          <w:rFonts w:hint="eastAsia" w:ascii="宋体" w:hAnsi="宋体" w:eastAsia="宋体" w:cs="宋体"/>
          <w:b w:val="0"/>
          <w:bCs w:val="0"/>
          <w:sz w:val="21"/>
          <w:szCs w:val="21"/>
          <w:highlight w:val="none"/>
          <w:lang w:val="en-US" w:eastAsia="zh-CN"/>
        </w:rPr>
      </w:pPr>
      <w:r>
        <w:rPr>
          <w:rFonts w:hint="eastAsia" w:cs="宋体"/>
          <w:b w:val="0"/>
          <w:bCs w:val="0"/>
          <w:sz w:val="21"/>
          <w:szCs w:val="21"/>
          <w:highlight w:val="none"/>
          <w:lang w:val="en-US" w:eastAsia="zh-CN"/>
        </w:rPr>
        <w:t>4.5.</w:t>
      </w:r>
      <w:r>
        <w:rPr>
          <w:rFonts w:hint="eastAsia" w:ascii="宋体" w:hAnsi="宋体" w:eastAsia="宋体" w:cs="宋体"/>
          <w:b w:val="0"/>
          <w:bCs w:val="0"/>
          <w:sz w:val="21"/>
          <w:szCs w:val="21"/>
          <w:highlight w:val="none"/>
          <w:lang w:val="en-US" w:eastAsia="zh-CN"/>
        </w:rPr>
        <w:t>2国家颁布新的快速检测标准或原有检测仪器不能满足检测需求时，中标供应商须承诺提供符合快速检测标准要求的检测仪器并完成快速检测工作（服务期满后，提供的仪器可带走），同时须承诺提供的检测仪器能对接上级部门快检系统。</w:t>
      </w:r>
    </w:p>
    <w:p w14:paraId="1B80DC60">
      <w:pPr>
        <w:pStyle w:val="253"/>
        <w:keepNext w:val="0"/>
        <w:keepLines w:val="0"/>
        <w:pageBreakBefore w:val="0"/>
        <w:widowControl w:val="0"/>
        <w:numPr>
          <w:ilvl w:val="0"/>
          <w:numId w:val="0"/>
        </w:numPr>
        <w:spacing w:before="0" w:line="360" w:lineRule="auto"/>
        <w:ind w:right="0" w:firstLine="420" w:firstLineChars="200"/>
        <w:jc w:val="both"/>
        <w:rPr>
          <w:rFonts w:hint="eastAsia" w:ascii="宋体" w:hAnsi="宋体" w:eastAsia="宋体" w:cs="宋体"/>
          <w:b w:val="0"/>
          <w:bCs w:val="0"/>
          <w:sz w:val="21"/>
          <w:szCs w:val="21"/>
          <w:highlight w:val="none"/>
          <w:lang w:val="en-US" w:eastAsia="zh-CN"/>
        </w:rPr>
      </w:pPr>
      <w:r>
        <w:rPr>
          <w:rFonts w:hint="eastAsia" w:cs="宋体"/>
          <w:b w:val="0"/>
          <w:bCs w:val="0"/>
          <w:sz w:val="21"/>
          <w:szCs w:val="21"/>
          <w:highlight w:val="none"/>
          <w:lang w:val="en-US" w:eastAsia="zh-CN"/>
        </w:rPr>
        <w:t>4.5.</w:t>
      </w:r>
      <w:r>
        <w:rPr>
          <w:rFonts w:hint="eastAsia" w:ascii="宋体" w:hAnsi="宋体" w:eastAsia="宋体" w:cs="宋体"/>
          <w:b w:val="0"/>
          <w:bCs w:val="0"/>
          <w:sz w:val="21"/>
          <w:szCs w:val="21"/>
          <w:highlight w:val="none"/>
          <w:lang w:val="en-US" w:eastAsia="zh-CN"/>
        </w:rPr>
        <w:t>3供应商负责所有使用的检测仪器设备、办公设备、检测室相关设施的故障维修与运行保障，确保所有检测仪器设备、设施及检测服务的正常运行。针对仪器设备，应提供仪器设备的调试验收、维护保养、检定校准，并形成相关记录，建立仪器设备档案的服务。</w:t>
      </w:r>
    </w:p>
    <w:p w14:paraId="4C9A156D">
      <w:pPr>
        <w:pStyle w:val="253"/>
        <w:keepNext w:val="0"/>
        <w:keepLines w:val="0"/>
        <w:pageBreakBefore w:val="0"/>
        <w:widowControl w:val="0"/>
        <w:numPr>
          <w:ilvl w:val="0"/>
          <w:numId w:val="0"/>
        </w:numPr>
        <w:spacing w:before="0" w:line="360" w:lineRule="auto"/>
        <w:ind w:right="0" w:firstLine="420" w:firstLineChars="200"/>
        <w:jc w:val="both"/>
        <w:rPr>
          <w:rFonts w:hint="eastAsia" w:ascii="宋体" w:hAnsi="宋体" w:eastAsia="宋体" w:cs="宋体"/>
          <w:b w:val="0"/>
          <w:bCs w:val="0"/>
          <w:sz w:val="21"/>
          <w:szCs w:val="21"/>
          <w:highlight w:val="none"/>
          <w:lang w:val="en-US" w:eastAsia="zh-CN"/>
        </w:rPr>
      </w:pPr>
      <w:r>
        <w:rPr>
          <w:rFonts w:hint="eastAsia" w:cs="宋体"/>
          <w:b w:val="0"/>
          <w:bCs w:val="0"/>
          <w:sz w:val="21"/>
          <w:szCs w:val="21"/>
          <w:highlight w:val="none"/>
          <w:lang w:val="en-US" w:eastAsia="zh-CN"/>
        </w:rPr>
        <w:t>4.5.</w:t>
      </w:r>
      <w:r>
        <w:rPr>
          <w:rFonts w:hint="eastAsia" w:ascii="宋体" w:hAnsi="宋体" w:eastAsia="宋体" w:cs="宋体"/>
          <w:b w:val="0"/>
          <w:bCs w:val="0"/>
          <w:sz w:val="21"/>
          <w:szCs w:val="21"/>
          <w:highlight w:val="none"/>
          <w:lang w:val="en-US" w:eastAsia="zh-CN"/>
        </w:rPr>
        <w:t>4按照检定和校准的相关规定，仪器设备需要检定或校准的包括：电子天平、移液器、量筒、烧杯等，要求在招标完成后进行检定或校准工作，留存台账备查。因涉及点位较多，检定和校准工作可以在项目运行后三个月内完成，检定和校准费用不再另行支付。</w:t>
      </w:r>
    </w:p>
    <w:p w14:paraId="78C00B5B">
      <w:pPr>
        <w:pStyle w:val="253"/>
        <w:keepNext w:val="0"/>
        <w:keepLines w:val="0"/>
        <w:pageBreakBefore w:val="0"/>
        <w:widowControl w:val="0"/>
        <w:numPr>
          <w:ilvl w:val="0"/>
          <w:numId w:val="0"/>
        </w:numPr>
        <w:spacing w:before="0" w:after="0" w:line="360" w:lineRule="auto"/>
        <w:ind w:right="0" w:firstLine="420"/>
        <w:jc w:val="both"/>
        <w:rPr>
          <w:rFonts w:hint="eastAsia" w:ascii="宋体" w:hAnsi="宋体" w:eastAsia="宋体" w:cs="宋体"/>
          <w:b w:val="0"/>
          <w:bCs w:val="0"/>
          <w:sz w:val="21"/>
          <w:szCs w:val="21"/>
          <w:highlight w:val="none"/>
          <w:lang w:eastAsia="zh-CN"/>
        </w:rPr>
      </w:pPr>
      <w:r>
        <w:rPr>
          <w:rFonts w:hint="eastAsia" w:cs="宋体"/>
          <w:b w:val="0"/>
          <w:bCs w:val="0"/>
          <w:sz w:val="21"/>
          <w:szCs w:val="21"/>
          <w:highlight w:val="none"/>
          <w:lang w:val="en-US" w:eastAsia="zh-CN"/>
        </w:rPr>
        <w:t>4.6</w:t>
      </w:r>
      <w:r>
        <w:rPr>
          <w:rFonts w:hint="eastAsia" w:ascii="宋体" w:hAnsi="宋体" w:eastAsia="宋体" w:cs="宋体"/>
          <w:b w:val="0"/>
          <w:bCs w:val="0"/>
          <w:sz w:val="21"/>
          <w:szCs w:val="21"/>
          <w:highlight w:val="none"/>
          <w:lang w:eastAsia="zh-CN"/>
        </w:rPr>
        <w:t>检测试剂要求</w:t>
      </w:r>
    </w:p>
    <w:p w14:paraId="566B4D40">
      <w:pPr>
        <w:pStyle w:val="253"/>
        <w:keepNext w:val="0"/>
        <w:keepLines w:val="0"/>
        <w:pageBreakBefore w:val="0"/>
        <w:widowControl w:val="0"/>
        <w:numPr>
          <w:ilvl w:val="0"/>
          <w:numId w:val="0"/>
        </w:numPr>
        <w:spacing w:line="360" w:lineRule="auto"/>
        <w:ind w:right="0" w:firstLine="420" w:firstLineChars="200"/>
        <w:jc w:val="both"/>
        <w:rPr>
          <w:rFonts w:hint="eastAsia" w:ascii="宋体" w:hAnsi="宋体" w:eastAsia="宋体" w:cs="宋体"/>
          <w:b w:val="0"/>
          <w:bCs w:val="0"/>
          <w:strike w:val="0"/>
          <w:sz w:val="21"/>
          <w:szCs w:val="21"/>
          <w:highlight w:val="none"/>
          <w:lang w:val="en-US" w:eastAsia="zh-CN" w:bidi="ar-SA"/>
        </w:rPr>
      </w:pPr>
      <w:r>
        <w:rPr>
          <w:rFonts w:hint="eastAsia" w:cs="宋体"/>
          <w:b w:val="0"/>
          <w:bCs w:val="0"/>
          <w:sz w:val="21"/>
          <w:szCs w:val="21"/>
          <w:highlight w:val="none"/>
          <w:lang w:val="en-US" w:eastAsia="zh-CN"/>
        </w:rPr>
        <w:t>4.6.</w:t>
      </w:r>
      <w:r>
        <w:rPr>
          <w:rFonts w:hint="eastAsia" w:ascii="宋体" w:hAnsi="宋体" w:eastAsia="宋体" w:cs="宋体"/>
          <w:b w:val="0"/>
          <w:bCs w:val="0"/>
          <w:sz w:val="21"/>
          <w:szCs w:val="21"/>
          <w:highlight w:val="none"/>
          <w:lang w:val="en-US" w:eastAsia="zh-CN" w:bidi="ar-SA"/>
        </w:rPr>
        <w:t>1国家市场监督管理总局食品安全抽检监测司食品快速检测方法数据库收录了49个快检方法，供应商所用的试剂需提供试剂生产厂家符合所收录的49个快检方法经过具有检测资质的机构或科研单位出具的评价报告，评价报告参照或依据食药监办科[2017]43号《食品快速检测方法评价技术规范》要求进行盲样测试或《市场监管总局关于规范食品快速检测使用的意见》载明的食品快速检测产品符合性评价程序进行评价，评价结果需符合国家食药总局快检方法相关要求，中标供应商应在中标后提供所用试剂耗材的评价报告材料。</w:t>
      </w:r>
    </w:p>
    <w:p w14:paraId="7434D0F5">
      <w:pPr>
        <w:pStyle w:val="253"/>
        <w:keepNext w:val="0"/>
        <w:keepLines w:val="0"/>
        <w:pageBreakBefore w:val="0"/>
        <w:widowControl w:val="0"/>
        <w:numPr>
          <w:ilvl w:val="0"/>
          <w:numId w:val="0"/>
        </w:numPr>
        <w:spacing w:line="360" w:lineRule="auto"/>
        <w:ind w:right="0" w:firstLine="420" w:firstLineChars="200"/>
        <w:jc w:val="both"/>
        <w:rPr>
          <w:rFonts w:hint="eastAsia" w:ascii="宋体" w:hAnsi="宋体" w:eastAsia="宋体" w:cs="宋体"/>
          <w:b w:val="0"/>
          <w:bCs w:val="0"/>
          <w:sz w:val="21"/>
          <w:szCs w:val="21"/>
          <w:highlight w:val="none"/>
          <w:lang w:val="en-US" w:eastAsia="zh-CN" w:bidi="ar-SA"/>
        </w:rPr>
      </w:pPr>
      <w:r>
        <w:rPr>
          <w:rFonts w:hint="eastAsia" w:cs="宋体"/>
          <w:b w:val="0"/>
          <w:bCs w:val="0"/>
          <w:sz w:val="21"/>
          <w:szCs w:val="21"/>
          <w:highlight w:val="none"/>
          <w:lang w:val="en-US" w:eastAsia="zh-CN"/>
        </w:rPr>
        <w:t>4.6.</w:t>
      </w:r>
      <w:r>
        <w:rPr>
          <w:rFonts w:hint="eastAsia" w:ascii="宋体" w:hAnsi="宋体" w:eastAsia="宋体" w:cs="宋体"/>
          <w:b w:val="0"/>
          <w:bCs w:val="0"/>
          <w:sz w:val="21"/>
          <w:szCs w:val="21"/>
          <w:highlight w:val="none"/>
          <w:lang w:val="en-US" w:eastAsia="zh-CN" w:bidi="ar-SA"/>
        </w:rPr>
        <w:t>2中标供应商承诺服务期内无正当理由应使用（4.6.1）中所提交评价报告生产厂家生产的试剂服务本项目，保留供货协议、进货凭证（供应商自己生产的试剂提供出库证明）等材料备查，一旦发现所用试剂不是验证报告厂家生产的试剂，直接扣除本季度检测应付费用，并责令限期改正。如因特殊情况确需更换试剂的，供应商应向</w:t>
      </w:r>
      <w:r>
        <w:rPr>
          <w:rFonts w:hint="eastAsia" w:cs="宋体"/>
          <w:b w:val="0"/>
          <w:bCs w:val="0"/>
          <w:sz w:val="21"/>
          <w:szCs w:val="21"/>
          <w:highlight w:val="none"/>
          <w:lang w:val="en-US" w:eastAsia="zh-CN" w:bidi="ar-SA"/>
        </w:rPr>
        <w:t>采购</w:t>
      </w:r>
      <w:r>
        <w:rPr>
          <w:rFonts w:hint="eastAsia" w:ascii="宋体" w:hAnsi="宋体" w:cs="宋体"/>
          <w:b w:val="0"/>
          <w:bCs w:val="0"/>
          <w:sz w:val="21"/>
          <w:szCs w:val="21"/>
          <w:highlight w:val="none"/>
          <w:lang w:val="en-US" w:eastAsia="zh-CN" w:bidi="ar-SA"/>
        </w:rPr>
        <w:t>人</w:t>
      </w:r>
      <w:r>
        <w:rPr>
          <w:rFonts w:hint="eastAsia" w:ascii="宋体" w:hAnsi="宋体" w:eastAsia="宋体" w:cs="宋体"/>
          <w:b w:val="0"/>
          <w:bCs w:val="0"/>
          <w:sz w:val="21"/>
          <w:szCs w:val="21"/>
          <w:highlight w:val="none"/>
          <w:lang w:val="en-US" w:eastAsia="zh-CN" w:bidi="ar-SA"/>
        </w:rPr>
        <w:t>提出申请并确保所更换试剂能够满足（1）中所述要求，提供评价报告材料等供</w:t>
      </w:r>
      <w:r>
        <w:rPr>
          <w:rFonts w:hint="eastAsia" w:cs="宋体"/>
          <w:b w:val="0"/>
          <w:bCs w:val="0"/>
          <w:sz w:val="21"/>
          <w:szCs w:val="21"/>
          <w:highlight w:val="none"/>
          <w:lang w:val="en-US" w:eastAsia="zh-CN" w:bidi="ar-SA"/>
        </w:rPr>
        <w:t>采购</w:t>
      </w:r>
      <w:r>
        <w:rPr>
          <w:rFonts w:hint="eastAsia" w:ascii="宋体" w:hAnsi="宋体" w:cs="宋体"/>
          <w:b w:val="0"/>
          <w:bCs w:val="0"/>
          <w:sz w:val="21"/>
          <w:szCs w:val="21"/>
          <w:highlight w:val="none"/>
          <w:lang w:val="en-US" w:eastAsia="zh-CN" w:bidi="ar-SA"/>
        </w:rPr>
        <w:t>人</w:t>
      </w:r>
      <w:r>
        <w:rPr>
          <w:rFonts w:hint="eastAsia" w:ascii="宋体" w:hAnsi="宋体" w:eastAsia="宋体" w:cs="宋体"/>
          <w:b w:val="0"/>
          <w:bCs w:val="0"/>
          <w:sz w:val="21"/>
          <w:szCs w:val="21"/>
          <w:highlight w:val="none"/>
          <w:lang w:val="en-US" w:eastAsia="zh-CN" w:bidi="ar-SA"/>
        </w:rPr>
        <w:t>审核批准。</w:t>
      </w:r>
    </w:p>
    <w:p w14:paraId="1CBCB3EC">
      <w:pPr>
        <w:pStyle w:val="253"/>
        <w:keepNext w:val="0"/>
        <w:keepLines w:val="0"/>
        <w:pageBreakBefore w:val="0"/>
        <w:widowControl w:val="0"/>
        <w:numPr>
          <w:ilvl w:val="0"/>
          <w:numId w:val="0"/>
        </w:numPr>
        <w:spacing w:line="360" w:lineRule="auto"/>
        <w:ind w:right="0" w:firstLine="420" w:firstLineChars="200"/>
        <w:jc w:val="both"/>
        <w:rPr>
          <w:rFonts w:hint="eastAsia" w:cs="宋体"/>
          <w:b w:val="0"/>
          <w:bCs w:val="0"/>
          <w:highlight w:val="none"/>
          <w:lang w:val="en-US" w:eastAsia="zh-CN"/>
        </w:rPr>
      </w:pPr>
      <w:r>
        <w:rPr>
          <w:rFonts w:hint="eastAsia" w:cs="宋体"/>
          <w:b w:val="0"/>
          <w:bCs w:val="0"/>
          <w:sz w:val="21"/>
          <w:szCs w:val="21"/>
          <w:highlight w:val="none"/>
          <w:lang w:val="en-US" w:eastAsia="zh-CN"/>
        </w:rPr>
        <w:t>4.6.</w:t>
      </w:r>
      <w:r>
        <w:rPr>
          <w:rFonts w:hint="eastAsia" w:ascii="宋体" w:hAnsi="宋体" w:eastAsia="宋体" w:cs="宋体"/>
          <w:b w:val="0"/>
          <w:bCs w:val="0"/>
          <w:sz w:val="21"/>
          <w:szCs w:val="21"/>
          <w:highlight w:val="none"/>
          <w:lang w:val="en-US" w:eastAsia="zh-CN" w:bidi="ar-SA"/>
        </w:rPr>
        <w:t>3国家颁布新的快检标准后，应保证所使用的试剂符合新的快检标准。</w:t>
      </w:r>
    </w:p>
    <w:p w14:paraId="62F2EBD8">
      <w:pPr>
        <w:pStyle w:val="253"/>
        <w:keepNext w:val="0"/>
        <w:keepLines w:val="0"/>
        <w:pageBreakBefore w:val="0"/>
        <w:widowControl w:val="0"/>
        <w:numPr>
          <w:ilvl w:val="0"/>
          <w:numId w:val="0"/>
        </w:numPr>
        <w:spacing w:before="0" w:after="0" w:line="360" w:lineRule="auto"/>
        <w:ind w:firstLine="420"/>
        <w:jc w:val="both"/>
        <w:rPr>
          <w:rFonts w:hint="eastAsia" w:ascii="宋体" w:hAnsi="宋体" w:eastAsia="宋体" w:cs="宋体"/>
          <w:b w:val="0"/>
          <w:bCs w:val="0"/>
          <w:sz w:val="21"/>
          <w:szCs w:val="21"/>
          <w:highlight w:val="none"/>
          <w:lang w:eastAsia="zh-CN"/>
        </w:rPr>
      </w:pPr>
      <w:r>
        <w:rPr>
          <w:rFonts w:hint="eastAsia" w:cs="宋体"/>
          <w:b w:val="0"/>
          <w:bCs w:val="0"/>
          <w:sz w:val="21"/>
          <w:szCs w:val="21"/>
          <w:highlight w:val="none"/>
          <w:lang w:val="en-US" w:eastAsia="zh-CN"/>
        </w:rPr>
        <w:t>4.7</w:t>
      </w:r>
      <w:r>
        <w:rPr>
          <w:rFonts w:hint="eastAsia" w:ascii="宋体" w:hAnsi="宋体" w:eastAsia="宋体" w:cs="宋体"/>
          <w:b w:val="0"/>
          <w:bCs w:val="0"/>
          <w:sz w:val="21"/>
          <w:szCs w:val="21"/>
          <w:highlight w:val="none"/>
          <w:lang w:eastAsia="zh-CN"/>
        </w:rPr>
        <w:t>检测要求</w:t>
      </w:r>
    </w:p>
    <w:p w14:paraId="45E0F2F4">
      <w:pPr>
        <w:pStyle w:val="253"/>
        <w:keepNext w:val="0"/>
        <w:keepLines w:val="0"/>
        <w:pageBreakBefore w:val="0"/>
        <w:widowControl w:val="0"/>
        <w:numPr>
          <w:ilvl w:val="0"/>
          <w:numId w:val="0"/>
        </w:numPr>
        <w:spacing w:line="360" w:lineRule="auto"/>
        <w:ind w:firstLine="420" w:firstLineChars="200"/>
        <w:jc w:val="left"/>
        <w:rPr>
          <w:rFonts w:hint="eastAsia" w:ascii="宋体" w:hAnsi="宋体" w:cs="宋体"/>
          <w:b w:val="0"/>
          <w:bCs w:val="0"/>
          <w:sz w:val="21"/>
          <w:szCs w:val="21"/>
          <w:highlight w:val="none"/>
          <w:lang w:val="en-US" w:eastAsia="zh-CN" w:bidi="ar-SA"/>
        </w:rPr>
      </w:pPr>
      <w:r>
        <w:rPr>
          <w:rFonts w:hint="eastAsia" w:cs="宋体"/>
          <w:b w:val="0"/>
          <w:bCs w:val="0"/>
          <w:sz w:val="21"/>
          <w:szCs w:val="21"/>
          <w:highlight w:val="none"/>
          <w:lang w:val="en-US" w:eastAsia="zh-CN" w:bidi="ar-SA"/>
        </w:rPr>
        <w:t>4.7.</w:t>
      </w:r>
      <w:r>
        <w:rPr>
          <w:rFonts w:hint="eastAsia" w:ascii="宋体" w:hAnsi="宋体" w:cs="宋体"/>
          <w:b w:val="0"/>
          <w:bCs w:val="0"/>
          <w:sz w:val="21"/>
          <w:szCs w:val="21"/>
          <w:highlight w:val="none"/>
          <w:lang w:val="en-US" w:eastAsia="zh-CN" w:bidi="ar-SA"/>
        </w:rPr>
        <w:t>1严格按照有关规定和标准进行抽样和检测。</w:t>
      </w:r>
    </w:p>
    <w:p w14:paraId="4F6CE36C">
      <w:pPr>
        <w:pStyle w:val="253"/>
        <w:keepNext w:val="0"/>
        <w:keepLines w:val="0"/>
        <w:pageBreakBefore w:val="0"/>
        <w:widowControl w:val="0"/>
        <w:numPr>
          <w:ilvl w:val="0"/>
          <w:numId w:val="0"/>
        </w:numPr>
        <w:spacing w:line="360" w:lineRule="auto"/>
        <w:ind w:firstLine="420" w:firstLineChars="200"/>
        <w:jc w:val="left"/>
        <w:rPr>
          <w:rFonts w:hint="eastAsia" w:ascii="宋体" w:hAnsi="宋体" w:cs="宋体"/>
          <w:b w:val="0"/>
          <w:bCs w:val="0"/>
          <w:sz w:val="21"/>
          <w:szCs w:val="21"/>
          <w:highlight w:val="none"/>
          <w:lang w:val="en-US" w:eastAsia="zh-CN" w:bidi="ar-SA"/>
        </w:rPr>
      </w:pPr>
      <w:r>
        <w:rPr>
          <w:rFonts w:hint="eastAsia" w:cs="宋体"/>
          <w:b w:val="0"/>
          <w:bCs w:val="0"/>
          <w:sz w:val="21"/>
          <w:szCs w:val="21"/>
          <w:highlight w:val="none"/>
          <w:lang w:val="en-US" w:eastAsia="zh-CN" w:bidi="ar-SA"/>
        </w:rPr>
        <w:t>4.7.</w:t>
      </w:r>
      <w:r>
        <w:rPr>
          <w:rFonts w:hint="eastAsia" w:ascii="宋体" w:hAnsi="宋体" w:cs="宋体"/>
          <w:b w:val="0"/>
          <w:bCs w:val="0"/>
          <w:sz w:val="21"/>
          <w:szCs w:val="21"/>
          <w:highlight w:val="none"/>
          <w:lang w:val="en-US" w:eastAsia="zh-CN" w:bidi="ar-SA"/>
        </w:rPr>
        <w:t>2承诺使用的试剂及辅助材料满足快速检测设备需要及相关技术标准要求，确保结果可靠。</w:t>
      </w:r>
    </w:p>
    <w:p w14:paraId="0F611754">
      <w:pPr>
        <w:pStyle w:val="253"/>
        <w:keepNext w:val="0"/>
        <w:keepLines w:val="0"/>
        <w:pageBreakBefore w:val="0"/>
        <w:widowControl w:val="0"/>
        <w:numPr>
          <w:ilvl w:val="0"/>
          <w:numId w:val="0"/>
        </w:numPr>
        <w:spacing w:line="360" w:lineRule="auto"/>
        <w:ind w:firstLine="420" w:firstLineChars="200"/>
        <w:jc w:val="left"/>
        <w:rPr>
          <w:rFonts w:hint="eastAsia" w:ascii="宋体" w:hAnsi="宋体" w:cs="宋体"/>
          <w:b w:val="0"/>
          <w:bCs w:val="0"/>
          <w:sz w:val="21"/>
          <w:szCs w:val="21"/>
          <w:highlight w:val="none"/>
          <w:lang w:val="en-US" w:eastAsia="zh-CN" w:bidi="ar-SA"/>
        </w:rPr>
      </w:pPr>
      <w:r>
        <w:rPr>
          <w:rFonts w:hint="eastAsia" w:cs="宋体"/>
          <w:b w:val="0"/>
          <w:bCs w:val="0"/>
          <w:sz w:val="21"/>
          <w:szCs w:val="21"/>
          <w:highlight w:val="none"/>
          <w:lang w:val="en-US" w:eastAsia="zh-CN" w:bidi="ar-SA"/>
        </w:rPr>
        <w:t>4.7.</w:t>
      </w:r>
      <w:r>
        <w:rPr>
          <w:rFonts w:hint="eastAsia" w:ascii="宋体" w:hAnsi="宋体" w:eastAsia="宋体" w:cs="宋体"/>
          <w:b w:val="0"/>
          <w:bCs w:val="0"/>
          <w:sz w:val="21"/>
          <w:szCs w:val="21"/>
          <w:highlight w:val="none"/>
          <w:lang w:val="en-US" w:eastAsia="zh-CN" w:bidi="ar-SA"/>
        </w:rPr>
        <w:t>3</w:t>
      </w:r>
      <w:r>
        <w:rPr>
          <w:rFonts w:hint="eastAsia" w:ascii="宋体" w:hAnsi="宋体" w:cs="宋体"/>
          <w:b w:val="0"/>
          <w:bCs w:val="0"/>
          <w:sz w:val="21"/>
          <w:szCs w:val="21"/>
          <w:highlight w:val="none"/>
          <w:lang w:val="en-US" w:eastAsia="zh-CN" w:bidi="ar-SA"/>
        </w:rPr>
        <w:t>对于出现误差率较高的农产品、食品品种和检测项目及时检测并上报。</w:t>
      </w:r>
    </w:p>
    <w:p w14:paraId="4AF5121E">
      <w:pPr>
        <w:pStyle w:val="253"/>
        <w:keepNext w:val="0"/>
        <w:keepLines w:val="0"/>
        <w:pageBreakBefore w:val="0"/>
        <w:widowControl w:val="0"/>
        <w:numPr>
          <w:ilvl w:val="0"/>
          <w:numId w:val="0"/>
        </w:numPr>
        <w:spacing w:line="360" w:lineRule="auto"/>
        <w:ind w:firstLine="420" w:firstLineChars="200"/>
        <w:jc w:val="left"/>
        <w:rPr>
          <w:rFonts w:hint="eastAsia" w:ascii="宋体" w:hAnsi="宋体" w:cs="宋体"/>
          <w:b w:val="0"/>
          <w:bCs w:val="0"/>
          <w:sz w:val="21"/>
          <w:szCs w:val="21"/>
          <w:highlight w:val="none"/>
          <w:lang w:val="en-US" w:eastAsia="zh-CN" w:bidi="ar-SA"/>
        </w:rPr>
      </w:pPr>
      <w:r>
        <w:rPr>
          <w:rFonts w:hint="eastAsia" w:cs="宋体"/>
          <w:b w:val="0"/>
          <w:bCs w:val="0"/>
          <w:sz w:val="21"/>
          <w:szCs w:val="21"/>
          <w:highlight w:val="none"/>
          <w:lang w:val="en-US" w:eastAsia="zh-CN" w:bidi="ar-SA"/>
        </w:rPr>
        <w:t>4.7.</w:t>
      </w:r>
      <w:r>
        <w:rPr>
          <w:rFonts w:hint="eastAsia" w:ascii="宋体" w:hAnsi="宋体" w:cs="宋体"/>
          <w:b w:val="0"/>
          <w:bCs w:val="0"/>
          <w:sz w:val="21"/>
          <w:szCs w:val="21"/>
          <w:highlight w:val="none"/>
          <w:lang w:val="en-US" w:eastAsia="zh-CN" w:bidi="ar-SA"/>
        </w:rPr>
        <w:t>4</w:t>
      </w:r>
      <w:r>
        <w:rPr>
          <w:rFonts w:hint="eastAsia" w:cs="宋体"/>
          <w:b w:val="0"/>
          <w:bCs w:val="0"/>
          <w:sz w:val="21"/>
          <w:szCs w:val="21"/>
          <w:highlight w:val="none"/>
          <w:lang w:val="en-US" w:eastAsia="zh-CN" w:bidi="ar-SA"/>
        </w:rPr>
        <w:t>采购人</w:t>
      </w:r>
      <w:r>
        <w:rPr>
          <w:rFonts w:hint="eastAsia" w:ascii="宋体" w:hAnsi="宋体" w:cs="宋体"/>
          <w:b w:val="0"/>
          <w:bCs w:val="0"/>
          <w:sz w:val="21"/>
          <w:szCs w:val="21"/>
          <w:highlight w:val="none"/>
          <w:lang w:val="en-US" w:eastAsia="zh-CN" w:bidi="ar-SA"/>
        </w:rPr>
        <w:t>可自行或委托指定单位不定期抽查所用快速检测设备和耗材质量，因供应商使用不合格试剂等耗材造成的不良后果，由供应商负责。</w:t>
      </w:r>
    </w:p>
    <w:p w14:paraId="4DEA5F08">
      <w:pPr>
        <w:pStyle w:val="253"/>
        <w:keepNext w:val="0"/>
        <w:keepLines w:val="0"/>
        <w:pageBreakBefore w:val="0"/>
        <w:widowControl w:val="0"/>
        <w:numPr>
          <w:ilvl w:val="0"/>
          <w:numId w:val="0"/>
        </w:numPr>
        <w:spacing w:line="360" w:lineRule="auto"/>
        <w:ind w:firstLine="420" w:firstLineChars="200"/>
        <w:jc w:val="left"/>
        <w:rPr>
          <w:rFonts w:hint="eastAsia" w:ascii="宋体" w:hAnsi="宋体" w:cs="宋体"/>
          <w:b w:val="0"/>
          <w:bCs w:val="0"/>
          <w:sz w:val="21"/>
          <w:szCs w:val="21"/>
          <w:highlight w:val="none"/>
          <w:lang w:val="en-US" w:eastAsia="zh-CN" w:bidi="ar-SA"/>
        </w:rPr>
      </w:pPr>
      <w:r>
        <w:rPr>
          <w:rFonts w:hint="eastAsia" w:cs="宋体"/>
          <w:b w:val="0"/>
          <w:bCs w:val="0"/>
          <w:sz w:val="21"/>
          <w:szCs w:val="21"/>
          <w:highlight w:val="none"/>
          <w:lang w:val="en-US" w:eastAsia="zh-CN" w:bidi="ar-SA"/>
        </w:rPr>
        <w:t>4.7.</w:t>
      </w:r>
      <w:r>
        <w:rPr>
          <w:rFonts w:hint="eastAsia" w:ascii="宋体" w:hAnsi="宋体" w:cs="宋体"/>
          <w:b w:val="0"/>
          <w:bCs w:val="0"/>
          <w:sz w:val="21"/>
          <w:szCs w:val="21"/>
          <w:highlight w:val="none"/>
          <w:lang w:val="en-US" w:eastAsia="zh-CN" w:bidi="ar-SA"/>
        </w:rPr>
        <w:t>5应索取并保留试剂生产厂家提供的有效证明，按照说明书要求保存试剂，不得使用过期试剂。</w:t>
      </w:r>
    </w:p>
    <w:p w14:paraId="5E4403C6">
      <w:pPr>
        <w:pStyle w:val="253"/>
        <w:keepNext w:val="0"/>
        <w:keepLines w:val="0"/>
        <w:pageBreakBefore w:val="0"/>
        <w:widowControl w:val="0"/>
        <w:numPr>
          <w:ilvl w:val="0"/>
          <w:numId w:val="0"/>
        </w:numPr>
        <w:spacing w:line="360" w:lineRule="auto"/>
        <w:ind w:firstLine="420" w:firstLineChars="200"/>
        <w:jc w:val="left"/>
        <w:rPr>
          <w:rFonts w:hint="eastAsia" w:ascii="宋体" w:hAnsi="宋体" w:cs="宋体"/>
          <w:b w:val="0"/>
          <w:bCs w:val="0"/>
          <w:sz w:val="21"/>
          <w:szCs w:val="21"/>
          <w:highlight w:val="none"/>
          <w:lang w:val="en-US" w:eastAsia="zh-CN" w:bidi="ar-SA"/>
        </w:rPr>
      </w:pPr>
      <w:r>
        <w:rPr>
          <w:rFonts w:hint="eastAsia" w:cs="宋体"/>
          <w:b w:val="0"/>
          <w:bCs w:val="0"/>
          <w:sz w:val="21"/>
          <w:szCs w:val="21"/>
          <w:highlight w:val="none"/>
          <w:lang w:val="en-US" w:eastAsia="zh-CN" w:bidi="ar-SA"/>
        </w:rPr>
        <w:t>4.7.</w:t>
      </w:r>
      <w:r>
        <w:rPr>
          <w:rFonts w:hint="eastAsia" w:ascii="宋体" w:hAnsi="宋体" w:cs="宋体"/>
          <w:b w:val="0"/>
          <w:bCs w:val="0"/>
          <w:sz w:val="21"/>
          <w:szCs w:val="21"/>
          <w:highlight w:val="none"/>
          <w:lang w:val="en-US" w:eastAsia="zh-CN" w:bidi="ar-SA"/>
        </w:rPr>
        <w:t>6配制的溶液应明确标识，注明试剂名称、配制时间、有效期等。</w:t>
      </w:r>
    </w:p>
    <w:p w14:paraId="4BCC822C">
      <w:pPr>
        <w:pStyle w:val="253"/>
        <w:keepNext w:val="0"/>
        <w:keepLines w:val="0"/>
        <w:pageBreakBefore w:val="0"/>
        <w:widowControl w:val="0"/>
        <w:numPr>
          <w:ilvl w:val="0"/>
          <w:numId w:val="0"/>
        </w:numPr>
        <w:spacing w:line="360" w:lineRule="auto"/>
        <w:ind w:firstLine="420" w:firstLineChars="200"/>
        <w:jc w:val="left"/>
        <w:rPr>
          <w:rFonts w:hint="eastAsia" w:ascii="宋体" w:hAnsi="宋体" w:cs="宋体"/>
          <w:b w:val="0"/>
          <w:bCs w:val="0"/>
          <w:sz w:val="21"/>
          <w:szCs w:val="21"/>
          <w:highlight w:val="none"/>
          <w:lang w:val="en-US" w:eastAsia="zh-CN" w:bidi="ar-SA"/>
        </w:rPr>
      </w:pPr>
      <w:r>
        <w:rPr>
          <w:rFonts w:hint="eastAsia" w:cs="宋体"/>
          <w:b w:val="0"/>
          <w:bCs w:val="0"/>
          <w:sz w:val="21"/>
          <w:szCs w:val="21"/>
          <w:highlight w:val="none"/>
          <w:lang w:val="en-US" w:eastAsia="zh-CN" w:bidi="ar-SA"/>
        </w:rPr>
        <w:t>4.7.</w:t>
      </w:r>
      <w:r>
        <w:rPr>
          <w:rFonts w:hint="eastAsia" w:ascii="宋体" w:hAnsi="宋体" w:cs="宋体"/>
          <w:b w:val="0"/>
          <w:bCs w:val="0"/>
          <w:sz w:val="21"/>
          <w:szCs w:val="21"/>
          <w:highlight w:val="none"/>
          <w:lang w:val="en-US" w:eastAsia="zh-CN" w:bidi="ar-SA"/>
        </w:rPr>
        <w:t>7采用适宜的方式妥善处置废弃的试剂、耗材等，因试剂（尤其是危化品、废液等）保存或处置不当造成严重后果的，由供应商负责。</w:t>
      </w:r>
    </w:p>
    <w:p w14:paraId="4094A511">
      <w:pPr>
        <w:pStyle w:val="253"/>
        <w:keepNext w:val="0"/>
        <w:keepLines w:val="0"/>
        <w:pageBreakBefore w:val="0"/>
        <w:widowControl w:val="0"/>
        <w:numPr>
          <w:ilvl w:val="0"/>
          <w:numId w:val="0"/>
        </w:numPr>
        <w:spacing w:line="360" w:lineRule="auto"/>
        <w:ind w:firstLine="420" w:firstLineChars="200"/>
        <w:jc w:val="left"/>
        <w:rPr>
          <w:rFonts w:hint="eastAsia" w:ascii="宋体" w:hAnsi="宋体" w:cs="宋体"/>
          <w:b w:val="0"/>
          <w:bCs w:val="0"/>
          <w:sz w:val="21"/>
          <w:szCs w:val="21"/>
          <w:highlight w:val="none"/>
          <w:lang w:val="en-US" w:eastAsia="zh-CN" w:bidi="ar-SA"/>
        </w:rPr>
      </w:pPr>
      <w:r>
        <w:rPr>
          <w:rFonts w:hint="eastAsia" w:cs="宋体"/>
          <w:b w:val="0"/>
          <w:bCs w:val="0"/>
          <w:sz w:val="21"/>
          <w:szCs w:val="21"/>
          <w:highlight w:val="none"/>
          <w:lang w:val="en-US" w:eastAsia="zh-CN" w:bidi="ar-SA"/>
        </w:rPr>
        <w:t>4.7.</w:t>
      </w:r>
      <w:r>
        <w:rPr>
          <w:rFonts w:hint="eastAsia" w:ascii="宋体" w:hAnsi="宋体" w:cs="宋体"/>
          <w:b w:val="0"/>
          <w:bCs w:val="0"/>
          <w:sz w:val="21"/>
          <w:szCs w:val="21"/>
          <w:highlight w:val="none"/>
          <w:lang w:val="en-US" w:eastAsia="zh-CN" w:bidi="ar-SA"/>
        </w:rPr>
        <w:t>8服务期内各中标供应商还需对总批次0.2%比例的快检结果进行实验室验证比对，以考察检测结果的准确性，比对批次应包括约10%阴性检测结果的验证，原则上按月序时开展；</w:t>
      </w:r>
      <w:r>
        <w:rPr>
          <w:rFonts w:hint="eastAsia" w:cs="宋体"/>
          <w:b w:val="0"/>
          <w:bCs w:val="0"/>
          <w:sz w:val="21"/>
          <w:szCs w:val="21"/>
          <w:highlight w:val="none"/>
          <w:lang w:val="en-US" w:eastAsia="zh-CN" w:bidi="ar-SA"/>
        </w:rPr>
        <w:t>采购</w:t>
      </w:r>
      <w:r>
        <w:rPr>
          <w:rFonts w:hint="eastAsia" w:ascii="宋体" w:hAnsi="宋体" w:cs="宋体"/>
          <w:b w:val="0"/>
          <w:bCs w:val="0"/>
          <w:sz w:val="21"/>
          <w:szCs w:val="21"/>
          <w:highlight w:val="none"/>
          <w:lang w:val="en-US" w:eastAsia="zh-CN" w:bidi="ar-SA"/>
        </w:rPr>
        <w:t>人可随时要求查看相关接样记录、检测记录、原始谱图、结果登记等材料，无法按要求或按时提供的，在当前季度考核分值中酌情扣除1</w:t>
      </w:r>
      <w:r>
        <w:rPr>
          <w:rFonts w:hint="eastAsia" w:eastAsia="宋体" w:cs="Times New Roman"/>
          <w:b w:val="0"/>
          <w:bCs w:val="0"/>
          <w:sz w:val="21"/>
          <w:szCs w:val="21"/>
          <w:highlight w:val="none"/>
          <w:lang w:val="en-US" w:eastAsia="zh-CN" w:bidi="ar-SA"/>
        </w:rPr>
        <w:t>～</w:t>
      </w:r>
      <w:r>
        <w:rPr>
          <w:rFonts w:hint="eastAsia" w:ascii="宋体" w:hAnsi="宋体" w:cs="宋体"/>
          <w:b w:val="0"/>
          <w:bCs w:val="0"/>
          <w:sz w:val="21"/>
          <w:szCs w:val="21"/>
          <w:highlight w:val="none"/>
          <w:lang w:val="en-US" w:eastAsia="zh-CN" w:bidi="ar-SA"/>
        </w:rPr>
        <w:t>10分。</w:t>
      </w:r>
    </w:p>
    <w:p w14:paraId="4F5669EE">
      <w:pPr>
        <w:pStyle w:val="253"/>
        <w:keepNext w:val="0"/>
        <w:keepLines w:val="0"/>
        <w:pageBreakBefore w:val="0"/>
        <w:widowControl w:val="0"/>
        <w:numPr>
          <w:ilvl w:val="0"/>
          <w:numId w:val="0"/>
        </w:numPr>
        <w:spacing w:before="0" w:after="0" w:line="360" w:lineRule="auto"/>
        <w:ind w:firstLine="420"/>
        <w:jc w:val="both"/>
        <w:rPr>
          <w:rFonts w:hint="default" w:ascii="宋体" w:hAnsi="宋体" w:eastAsia="宋体" w:cs="宋体"/>
          <w:b w:val="0"/>
          <w:bCs w:val="0"/>
          <w:sz w:val="21"/>
          <w:szCs w:val="21"/>
          <w:highlight w:val="none"/>
          <w:lang w:val="en-US" w:eastAsia="zh-CN"/>
        </w:rPr>
      </w:pPr>
      <w:r>
        <w:rPr>
          <w:rFonts w:hint="eastAsia" w:cs="宋体"/>
          <w:b w:val="0"/>
          <w:bCs w:val="0"/>
          <w:sz w:val="21"/>
          <w:szCs w:val="21"/>
          <w:highlight w:val="none"/>
          <w:lang w:val="en-US" w:eastAsia="zh-CN"/>
        </w:rPr>
        <w:t>4.8</w:t>
      </w:r>
      <w:r>
        <w:rPr>
          <w:rFonts w:hint="eastAsia" w:ascii="宋体" w:hAnsi="宋体" w:eastAsia="宋体" w:cs="宋体"/>
          <w:b w:val="0"/>
          <w:bCs w:val="0"/>
          <w:sz w:val="21"/>
          <w:szCs w:val="21"/>
          <w:highlight w:val="none"/>
          <w:lang w:eastAsia="zh-CN"/>
        </w:rPr>
        <w:t>结果处理</w:t>
      </w:r>
    </w:p>
    <w:p w14:paraId="6A028B6F">
      <w:pPr>
        <w:pStyle w:val="253"/>
        <w:keepNext w:val="0"/>
        <w:keepLines w:val="0"/>
        <w:pageBreakBefore w:val="0"/>
        <w:widowControl w:val="0"/>
        <w:numPr>
          <w:ilvl w:val="0"/>
          <w:numId w:val="0"/>
        </w:numPr>
        <w:spacing w:before="0" w:after="0" w:line="360" w:lineRule="auto"/>
        <w:ind w:firstLine="420"/>
        <w:jc w:val="both"/>
        <w:rPr>
          <w:rFonts w:hint="eastAsia" w:ascii="宋体" w:hAnsi="宋体" w:eastAsia="宋体" w:cs="宋体"/>
          <w:b w:val="0"/>
          <w:bCs w:val="0"/>
          <w:sz w:val="21"/>
          <w:szCs w:val="21"/>
          <w:highlight w:val="none"/>
          <w:lang w:eastAsia="zh-CN"/>
        </w:rPr>
      </w:pPr>
      <w:r>
        <w:rPr>
          <w:rFonts w:hint="eastAsia" w:cs="宋体"/>
          <w:b w:val="0"/>
          <w:bCs w:val="0"/>
          <w:sz w:val="21"/>
          <w:szCs w:val="21"/>
          <w:highlight w:val="none"/>
          <w:lang w:val="en-US" w:eastAsia="zh-CN"/>
        </w:rPr>
        <w:t>4.8.1</w:t>
      </w:r>
      <w:r>
        <w:rPr>
          <w:rFonts w:hint="eastAsia" w:cs="宋体"/>
          <w:b w:val="0"/>
          <w:bCs w:val="0"/>
          <w:sz w:val="21"/>
          <w:szCs w:val="21"/>
          <w:highlight w:val="none"/>
          <w:lang w:eastAsia="zh-CN"/>
        </w:rPr>
        <w:t>中标</w:t>
      </w:r>
      <w:r>
        <w:rPr>
          <w:rFonts w:hint="eastAsia" w:ascii="宋体" w:hAnsi="宋体" w:eastAsia="宋体" w:cs="宋体"/>
          <w:b w:val="0"/>
          <w:bCs w:val="0"/>
          <w:sz w:val="21"/>
          <w:szCs w:val="21"/>
          <w:highlight w:val="none"/>
          <w:lang w:eastAsia="zh-CN"/>
        </w:rPr>
        <w:t>供应商应及时将检测结果通过市场公示栏、电子屏幕等方式公示，便于消费者在选购食品时参考，接受社会监督</w:t>
      </w:r>
      <w:r>
        <w:rPr>
          <w:rFonts w:hint="eastAsia" w:cs="宋体"/>
          <w:b w:val="0"/>
          <w:bCs w:val="0"/>
          <w:sz w:val="21"/>
          <w:szCs w:val="21"/>
          <w:highlight w:val="none"/>
          <w:lang w:eastAsia="zh-CN"/>
        </w:rPr>
        <w:t>。</w:t>
      </w:r>
    </w:p>
    <w:p w14:paraId="1A4A5E6A">
      <w:pPr>
        <w:pStyle w:val="253"/>
        <w:keepNext w:val="0"/>
        <w:keepLines w:val="0"/>
        <w:pageBreakBefore w:val="0"/>
        <w:widowControl w:val="0"/>
        <w:numPr>
          <w:ilvl w:val="0"/>
          <w:numId w:val="0"/>
        </w:numPr>
        <w:spacing w:before="0" w:after="0" w:line="360" w:lineRule="auto"/>
        <w:ind w:firstLine="420"/>
        <w:jc w:val="both"/>
        <w:rPr>
          <w:rFonts w:hint="default" w:cs="宋体"/>
          <w:b w:val="0"/>
          <w:bCs w:val="0"/>
          <w:sz w:val="21"/>
          <w:szCs w:val="21"/>
          <w:highlight w:val="none"/>
          <w:lang w:val="en-US" w:eastAsia="zh-CN"/>
        </w:rPr>
      </w:pPr>
      <w:r>
        <w:rPr>
          <w:rFonts w:hint="eastAsia" w:cs="宋体"/>
          <w:b w:val="0"/>
          <w:bCs w:val="0"/>
          <w:sz w:val="21"/>
          <w:szCs w:val="21"/>
          <w:highlight w:val="none"/>
          <w:lang w:val="en-US" w:eastAsia="zh-CN"/>
        </w:rPr>
        <w:t>4.8.2</w:t>
      </w:r>
      <w:r>
        <w:rPr>
          <w:rFonts w:hint="eastAsia" w:cs="宋体"/>
          <w:b w:val="0"/>
          <w:bCs w:val="0"/>
          <w:sz w:val="21"/>
          <w:szCs w:val="21"/>
          <w:highlight w:val="none"/>
          <w:lang w:eastAsia="zh-CN"/>
        </w:rPr>
        <w:t>中标</w:t>
      </w:r>
      <w:r>
        <w:rPr>
          <w:rFonts w:hint="eastAsia" w:ascii="宋体" w:hAnsi="宋体" w:eastAsia="宋体" w:cs="宋体"/>
          <w:b w:val="0"/>
          <w:bCs w:val="0"/>
          <w:sz w:val="21"/>
          <w:szCs w:val="21"/>
          <w:highlight w:val="none"/>
          <w:lang w:eastAsia="zh-CN"/>
        </w:rPr>
        <w:t>供应商在现场快检中发现</w:t>
      </w:r>
      <w:r>
        <w:rPr>
          <w:rFonts w:hint="eastAsia" w:cs="宋体"/>
          <w:b w:val="0"/>
          <w:bCs w:val="0"/>
          <w:sz w:val="21"/>
          <w:szCs w:val="21"/>
          <w:highlight w:val="none"/>
          <w:lang w:val="en-US" w:eastAsia="zh-CN"/>
        </w:rPr>
        <w:t>确证阳性</w:t>
      </w:r>
      <w:r>
        <w:rPr>
          <w:rFonts w:hint="eastAsia" w:ascii="宋体" w:hAnsi="宋体" w:eastAsia="宋体" w:cs="宋体"/>
          <w:b w:val="0"/>
          <w:bCs w:val="0"/>
          <w:sz w:val="21"/>
          <w:szCs w:val="21"/>
          <w:highlight w:val="none"/>
          <w:lang w:eastAsia="zh-CN"/>
        </w:rPr>
        <w:t>产品的，要立即将检测结果通报给</w:t>
      </w:r>
      <w:r>
        <w:rPr>
          <w:rFonts w:hint="eastAsia" w:cs="宋体"/>
          <w:b w:val="0"/>
          <w:bCs w:val="0"/>
          <w:sz w:val="21"/>
          <w:szCs w:val="21"/>
          <w:highlight w:val="none"/>
          <w:lang w:eastAsia="zh-CN"/>
        </w:rPr>
        <w:t>市场方、采购人</w:t>
      </w:r>
      <w:r>
        <w:rPr>
          <w:rFonts w:hint="eastAsia" w:ascii="宋体" w:hAnsi="宋体" w:eastAsia="宋体" w:cs="宋体"/>
          <w:b w:val="0"/>
          <w:bCs w:val="0"/>
          <w:sz w:val="21"/>
          <w:szCs w:val="21"/>
          <w:highlight w:val="none"/>
          <w:lang w:eastAsia="zh-CN"/>
        </w:rPr>
        <w:t>，并</w:t>
      </w:r>
      <w:r>
        <w:rPr>
          <w:rFonts w:hint="eastAsia" w:cs="宋体"/>
          <w:b w:val="0"/>
          <w:bCs w:val="0"/>
          <w:sz w:val="21"/>
          <w:szCs w:val="21"/>
          <w:highlight w:val="none"/>
          <w:lang w:eastAsia="zh-CN"/>
        </w:rPr>
        <w:t>协助做好相关溯源、处置登记工作。</w:t>
      </w:r>
    </w:p>
    <w:p w14:paraId="3C2B6D05">
      <w:pPr>
        <w:pStyle w:val="253"/>
        <w:keepNext w:val="0"/>
        <w:keepLines w:val="0"/>
        <w:pageBreakBefore w:val="0"/>
        <w:widowControl w:val="0"/>
        <w:numPr>
          <w:ilvl w:val="0"/>
          <w:numId w:val="0"/>
        </w:numPr>
        <w:spacing w:before="0" w:after="0" w:line="360" w:lineRule="auto"/>
        <w:ind w:firstLine="420"/>
        <w:jc w:val="both"/>
        <w:rPr>
          <w:rFonts w:hint="eastAsia" w:cs="宋体"/>
          <w:b w:val="0"/>
          <w:bCs w:val="0"/>
          <w:sz w:val="21"/>
          <w:szCs w:val="21"/>
          <w:highlight w:val="none"/>
          <w:lang w:eastAsia="zh-CN"/>
        </w:rPr>
      </w:pPr>
      <w:r>
        <w:rPr>
          <w:rFonts w:hint="eastAsia" w:cs="宋体"/>
          <w:b w:val="0"/>
          <w:bCs w:val="0"/>
          <w:sz w:val="21"/>
          <w:szCs w:val="21"/>
          <w:highlight w:val="none"/>
          <w:lang w:val="en-US" w:eastAsia="zh-CN"/>
        </w:rPr>
        <w:t>4.8.3</w:t>
      </w:r>
      <w:r>
        <w:rPr>
          <w:rFonts w:hint="eastAsia" w:ascii="宋体" w:hAnsi="宋体" w:eastAsia="宋体" w:cs="宋体"/>
          <w:b w:val="0"/>
          <w:bCs w:val="0"/>
          <w:sz w:val="21"/>
          <w:szCs w:val="21"/>
          <w:highlight w:val="none"/>
          <w:lang w:val="en-US" w:eastAsia="zh-CN"/>
        </w:rPr>
        <w:t>被抽查经营者对快检结果有异议的，四小时内申请复检的，由供应商依照法定程序抽样，作</w:t>
      </w:r>
      <w:r>
        <w:rPr>
          <w:rFonts w:hint="eastAsia" w:cs="宋体"/>
          <w:b w:val="0"/>
          <w:bCs w:val="0"/>
          <w:sz w:val="21"/>
          <w:szCs w:val="21"/>
          <w:highlight w:val="none"/>
          <w:lang w:val="en-US" w:eastAsia="zh-CN"/>
        </w:rPr>
        <w:t>实验室</w:t>
      </w:r>
      <w:r>
        <w:rPr>
          <w:rFonts w:hint="eastAsia" w:ascii="宋体" w:hAnsi="宋体" w:eastAsia="宋体" w:cs="宋体"/>
          <w:b w:val="0"/>
          <w:bCs w:val="0"/>
          <w:sz w:val="21"/>
          <w:szCs w:val="21"/>
          <w:highlight w:val="none"/>
          <w:lang w:val="en-US" w:eastAsia="zh-CN"/>
        </w:rPr>
        <w:t>定量检测</w:t>
      </w:r>
      <w:r>
        <w:rPr>
          <w:rFonts w:hint="eastAsia" w:cs="宋体"/>
          <w:b w:val="0"/>
          <w:bCs w:val="0"/>
          <w:sz w:val="21"/>
          <w:szCs w:val="21"/>
          <w:highlight w:val="none"/>
          <w:lang w:val="en-US" w:eastAsia="zh-CN"/>
        </w:rPr>
        <w:t>，相关检测可抵扣当月快检结果验证批次</w:t>
      </w:r>
      <w:r>
        <w:rPr>
          <w:rFonts w:hint="eastAsia" w:ascii="宋体" w:hAnsi="宋体" w:eastAsia="宋体" w:cs="宋体"/>
          <w:b w:val="0"/>
          <w:bCs w:val="0"/>
          <w:sz w:val="21"/>
          <w:szCs w:val="21"/>
          <w:highlight w:val="none"/>
          <w:lang w:val="en-US" w:eastAsia="zh-CN"/>
        </w:rPr>
        <w:t>。</w:t>
      </w:r>
    </w:p>
    <w:p w14:paraId="1EA5CADD">
      <w:pPr>
        <w:pStyle w:val="253"/>
        <w:keepNext w:val="0"/>
        <w:keepLines w:val="0"/>
        <w:pageBreakBefore w:val="0"/>
        <w:widowControl w:val="0"/>
        <w:numPr>
          <w:ilvl w:val="0"/>
          <w:numId w:val="0"/>
        </w:numPr>
        <w:spacing w:line="360" w:lineRule="auto"/>
        <w:ind w:firstLine="420" w:firstLineChars="200"/>
        <w:rPr>
          <w:rFonts w:hint="eastAsia" w:ascii="宋体" w:hAnsi="宋体" w:cs="宋体"/>
          <w:b w:val="0"/>
          <w:bCs w:val="0"/>
          <w:sz w:val="21"/>
          <w:szCs w:val="21"/>
          <w:highlight w:val="none"/>
          <w:lang w:val="en-US" w:eastAsia="zh-CN" w:bidi="ar-SA"/>
        </w:rPr>
      </w:pPr>
      <w:r>
        <w:rPr>
          <w:rFonts w:hint="eastAsia" w:cs="宋体"/>
          <w:b w:val="0"/>
          <w:bCs w:val="0"/>
          <w:sz w:val="21"/>
          <w:szCs w:val="21"/>
          <w:highlight w:val="none"/>
          <w:lang w:val="en-US" w:eastAsia="zh-CN"/>
        </w:rPr>
        <w:t>4.8.</w:t>
      </w:r>
      <w:r>
        <w:rPr>
          <w:rFonts w:hint="eastAsia" w:ascii="宋体" w:hAnsi="宋体" w:cs="宋体"/>
          <w:b w:val="0"/>
          <w:bCs w:val="0"/>
          <w:sz w:val="21"/>
          <w:szCs w:val="21"/>
          <w:highlight w:val="none"/>
          <w:lang w:val="en-US" w:eastAsia="zh-CN" w:bidi="ar-SA"/>
        </w:rPr>
        <w:t>4</w:t>
      </w:r>
      <w:r>
        <w:rPr>
          <w:rFonts w:hint="eastAsia" w:ascii="宋体" w:hAnsi="宋体" w:eastAsia="宋体" w:cs="宋体"/>
          <w:b w:val="0"/>
          <w:bCs w:val="0"/>
          <w:sz w:val="21"/>
          <w:szCs w:val="21"/>
          <w:highlight w:val="none"/>
          <w:lang w:val="en-US" w:eastAsia="zh-CN" w:bidi="ar-SA"/>
        </w:rPr>
        <w:t>对快检</w:t>
      </w:r>
      <w:r>
        <w:rPr>
          <w:rFonts w:hint="eastAsia" w:ascii="宋体" w:hAnsi="宋体" w:cs="宋体"/>
          <w:b w:val="0"/>
          <w:bCs w:val="0"/>
          <w:sz w:val="21"/>
          <w:szCs w:val="21"/>
          <w:highlight w:val="none"/>
          <w:lang w:val="en-US" w:eastAsia="zh-CN" w:bidi="ar-SA"/>
        </w:rPr>
        <w:t>确证阳性</w:t>
      </w:r>
      <w:r>
        <w:rPr>
          <w:rFonts w:hint="eastAsia" w:ascii="宋体" w:hAnsi="宋体" w:eastAsia="宋体" w:cs="宋体"/>
          <w:b w:val="0"/>
          <w:bCs w:val="0"/>
          <w:sz w:val="21"/>
          <w:szCs w:val="21"/>
          <w:highlight w:val="none"/>
          <w:lang w:val="en-US" w:eastAsia="zh-CN" w:bidi="ar-SA"/>
        </w:rPr>
        <w:t>产品的经营者，供应商应在日常检测中对其进行跟踪式快检，即在接下来的2天，连续对其经营的食用农产品进行快检</w:t>
      </w:r>
      <w:r>
        <w:rPr>
          <w:rFonts w:hint="eastAsia" w:ascii="宋体" w:hAnsi="宋体" w:cs="宋体"/>
          <w:b w:val="0"/>
          <w:bCs w:val="0"/>
          <w:sz w:val="21"/>
          <w:szCs w:val="21"/>
          <w:highlight w:val="none"/>
          <w:lang w:val="en-US" w:eastAsia="zh-CN" w:bidi="ar-SA"/>
        </w:rPr>
        <w:t>。</w:t>
      </w:r>
    </w:p>
    <w:p w14:paraId="287E8362">
      <w:pPr>
        <w:pStyle w:val="253"/>
        <w:keepNext w:val="0"/>
        <w:keepLines w:val="0"/>
        <w:pageBreakBefore w:val="0"/>
        <w:widowControl w:val="0"/>
        <w:numPr>
          <w:ilvl w:val="0"/>
          <w:numId w:val="0"/>
        </w:numPr>
        <w:spacing w:line="360" w:lineRule="auto"/>
        <w:ind w:firstLine="420" w:firstLineChars="200"/>
        <w:rPr>
          <w:rFonts w:hint="eastAsia" w:ascii="宋体" w:hAnsi="宋体" w:eastAsia="宋体" w:cs="宋体"/>
          <w:b w:val="0"/>
          <w:bCs w:val="0"/>
          <w:sz w:val="21"/>
          <w:szCs w:val="21"/>
          <w:highlight w:val="none"/>
          <w:lang w:val="en-US" w:eastAsia="zh-CN" w:bidi="ar-SA"/>
        </w:rPr>
      </w:pPr>
      <w:r>
        <w:rPr>
          <w:rFonts w:hint="eastAsia" w:cs="宋体"/>
          <w:b w:val="0"/>
          <w:bCs w:val="0"/>
          <w:sz w:val="21"/>
          <w:szCs w:val="21"/>
          <w:highlight w:val="none"/>
          <w:lang w:val="en-US" w:eastAsia="zh-CN"/>
        </w:rPr>
        <w:t>4.8.</w:t>
      </w:r>
      <w:r>
        <w:rPr>
          <w:rFonts w:hint="eastAsia" w:ascii="宋体" w:hAnsi="宋体" w:cs="宋体"/>
          <w:b w:val="0"/>
          <w:bCs w:val="0"/>
          <w:sz w:val="21"/>
          <w:szCs w:val="21"/>
          <w:highlight w:val="none"/>
          <w:lang w:val="en-US" w:eastAsia="zh-CN" w:bidi="ar-SA"/>
        </w:rPr>
        <w:t>5</w:t>
      </w:r>
      <w:r>
        <w:rPr>
          <w:rFonts w:hint="eastAsia" w:ascii="宋体" w:hAnsi="宋体" w:eastAsia="宋体" w:cs="宋体"/>
          <w:b w:val="0"/>
          <w:bCs w:val="0"/>
          <w:sz w:val="21"/>
          <w:szCs w:val="21"/>
          <w:highlight w:val="none"/>
          <w:lang w:val="en-US" w:eastAsia="zh-CN" w:bidi="ar-SA"/>
        </w:rPr>
        <w:t>同一经营者快检</w:t>
      </w:r>
      <w:r>
        <w:rPr>
          <w:rFonts w:hint="eastAsia" w:ascii="宋体" w:hAnsi="宋体" w:cs="宋体"/>
          <w:b w:val="0"/>
          <w:bCs w:val="0"/>
          <w:sz w:val="21"/>
          <w:szCs w:val="21"/>
          <w:highlight w:val="none"/>
          <w:lang w:val="en-US" w:eastAsia="zh-CN" w:bidi="ar-SA"/>
        </w:rPr>
        <w:t>确证阳性</w:t>
      </w:r>
      <w:r>
        <w:rPr>
          <w:rFonts w:hint="eastAsia" w:ascii="宋体" w:hAnsi="宋体" w:eastAsia="宋体" w:cs="宋体"/>
          <w:b w:val="0"/>
          <w:bCs w:val="0"/>
          <w:sz w:val="21"/>
          <w:szCs w:val="21"/>
          <w:highlight w:val="none"/>
          <w:lang w:val="en-US" w:eastAsia="zh-CN" w:bidi="ar-SA"/>
        </w:rPr>
        <w:t>或抽检不合格次数超过3次的，供应商应将其列入重点监管对象，加强对该经营者的抽检频次。一个或多个市场的同一品种食用农产品在短期内多次出现快检不合格情况的，供应商应及时报告</w:t>
      </w:r>
      <w:r>
        <w:rPr>
          <w:rFonts w:hint="eastAsia" w:cs="宋体"/>
          <w:b w:val="0"/>
          <w:bCs w:val="0"/>
          <w:sz w:val="21"/>
          <w:szCs w:val="21"/>
          <w:highlight w:val="none"/>
          <w:lang w:val="en-US" w:eastAsia="zh-CN" w:bidi="ar-SA"/>
        </w:rPr>
        <w:t>采购</w:t>
      </w:r>
      <w:r>
        <w:rPr>
          <w:rFonts w:hint="eastAsia" w:ascii="宋体" w:hAnsi="宋体" w:cs="宋体"/>
          <w:b w:val="0"/>
          <w:bCs w:val="0"/>
          <w:sz w:val="21"/>
          <w:szCs w:val="21"/>
          <w:highlight w:val="none"/>
          <w:lang w:val="en-US" w:eastAsia="zh-CN" w:bidi="ar-SA"/>
        </w:rPr>
        <w:t>人</w:t>
      </w:r>
      <w:r>
        <w:rPr>
          <w:rFonts w:hint="eastAsia" w:ascii="宋体" w:hAnsi="宋体" w:eastAsia="宋体" w:cs="宋体"/>
          <w:b w:val="0"/>
          <w:bCs w:val="0"/>
          <w:sz w:val="21"/>
          <w:szCs w:val="21"/>
          <w:highlight w:val="none"/>
          <w:lang w:val="en-US" w:eastAsia="zh-CN" w:bidi="ar-SA"/>
        </w:rPr>
        <w:t>，将该品种列入重点抽检品种，加强质量安全监测。</w:t>
      </w:r>
    </w:p>
    <w:p w14:paraId="5235444F">
      <w:pPr>
        <w:pStyle w:val="253"/>
        <w:keepNext w:val="0"/>
        <w:keepLines w:val="0"/>
        <w:pageBreakBefore w:val="0"/>
        <w:widowControl w:val="0"/>
        <w:numPr>
          <w:ilvl w:val="0"/>
          <w:numId w:val="0"/>
        </w:numPr>
        <w:spacing w:before="0" w:after="0" w:line="360" w:lineRule="auto"/>
        <w:ind w:firstLine="420"/>
        <w:jc w:val="both"/>
        <w:rPr>
          <w:rFonts w:hint="eastAsia" w:ascii="宋体" w:hAnsi="宋体" w:eastAsia="宋体" w:cs="宋体"/>
          <w:b w:val="0"/>
          <w:bCs w:val="0"/>
          <w:sz w:val="21"/>
          <w:szCs w:val="21"/>
          <w:highlight w:val="none"/>
          <w:lang w:eastAsia="zh-CN"/>
        </w:rPr>
      </w:pPr>
      <w:r>
        <w:rPr>
          <w:rFonts w:hint="eastAsia" w:cs="宋体"/>
          <w:b w:val="0"/>
          <w:bCs w:val="0"/>
          <w:sz w:val="21"/>
          <w:szCs w:val="21"/>
          <w:highlight w:val="none"/>
          <w:lang w:val="en-US" w:eastAsia="zh-CN"/>
        </w:rPr>
        <w:t>4.9</w:t>
      </w:r>
      <w:r>
        <w:rPr>
          <w:rFonts w:hint="eastAsia" w:ascii="宋体" w:hAnsi="宋体" w:eastAsia="宋体" w:cs="宋体"/>
          <w:b w:val="0"/>
          <w:bCs w:val="0"/>
          <w:sz w:val="21"/>
          <w:szCs w:val="21"/>
          <w:highlight w:val="none"/>
          <w:lang w:eastAsia="zh-CN"/>
        </w:rPr>
        <w:t>档案资料管理：</w:t>
      </w:r>
    </w:p>
    <w:p w14:paraId="082D08A1">
      <w:pPr>
        <w:pStyle w:val="253"/>
        <w:keepNext w:val="0"/>
        <w:keepLines w:val="0"/>
        <w:pageBreakBefore w:val="0"/>
        <w:widowControl w:val="0"/>
        <w:numPr>
          <w:ilvl w:val="0"/>
          <w:numId w:val="0"/>
        </w:numPr>
        <w:spacing w:before="0" w:after="0" w:line="360" w:lineRule="auto"/>
        <w:ind w:firstLine="420"/>
        <w:jc w:val="both"/>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供应商在辖区范围内开展食品快检业务所形成的所有检测数据</w:t>
      </w:r>
      <w:r>
        <w:rPr>
          <w:rFonts w:hint="eastAsia" w:cs="宋体"/>
          <w:b w:val="0"/>
          <w:bCs w:val="0"/>
          <w:sz w:val="21"/>
          <w:szCs w:val="21"/>
          <w:highlight w:val="none"/>
          <w:lang w:eastAsia="zh-CN"/>
        </w:rPr>
        <w:t>、台账资料</w:t>
      </w:r>
      <w:r>
        <w:rPr>
          <w:rFonts w:hint="eastAsia" w:ascii="宋体" w:hAnsi="宋体" w:eastAsia="宋体" w:cs="宋体"/>
          <w:b w:val="0"/>
          <w:bCs w:val="0"/>
          <w:sz w:val="21"/>
          <w:szCs w:val="21"/>
          <w:highlight w:val="none"/>
          <w:lang w:eastAsia="zh-CN"/>
        </w:rPr>
        <w:t>，归我局所有，信息不经我局允许不得对外发布和使用，否则追究法律责任。供应商应同步进行检测数据物理</w:t>
      </w:r>
      <w:r>
        <w:rPr>
          <w:rFonts w:hint="eastAsia" w:cs="宋体"/>
          <w:b w:val="0"/>
          <w:bCs w:val="0"/>
          <w:sz w:val="21"/>
          <w:szCs w:val="21"/>
          <w:highlight w:val="none"/>
          <w:lang w:eastAsia="zh-CN"/>
        </w:rPr>
        <w:t>台账</w:t>
      </w:r>
      <w:r>
        <w:rPr>
          <w:rFonts w:hint="eastAsia" w:ascii="宋体" w:hAnsi="宋体" w:eastAsia="宋体" w:cs="宋体"/>
          <w:b w:val="0"/>
          <w:bCs w:val="0"/>
          <w:sz w:val="21"/>
          <w:szCs w:val="21"/>
          <w:highlight w:val="none"/>
          <w:lang w:eastAsia="zh-CN"/>
        </w:rPr>
        <w:t>的收集、整理、归档，配合监管机关开展数据的综合分析和开发利用。快检数据除按</w:t>
      </w:r>
      <w:r>
        <w:rPr>
          <w:rFonts w:hint="eastAsia" w:cs="宋体"/>
          <w:b w:val="0"/>
          <w:bCs w:val="0"/>
          <w:sz w:val="21"/>
          <w:szCs w:val="21"/>
          <w:highlight w:val="none"/>
          <w:lang w:eastAsia="zh-CN"/>
        </w:rPr>
        <w:t>采购人</w:t>
      </w:r>
      <w:r>
        <w:rPr>
          <w:rFonts w:hint="eastAsia" w:ascii="宋体" w:hAnsi="宋体" w:eastAsia="宋体" w:cs="宋体"/>
          <w:b w:val="0"/>
          <w:bCs w:val="0"/>
          <w:sz w:val="21"/>
          <w:szCs w:val="21"/>
          <w:highlight w:val="none"/>
          <w:lang w:eastAsia="zh-CN"/>
        </w:rPr>
        <w:t>要求录入相关快检系统，应做好纸质</w:t>
      </w:r>
      <w:r>
        <w:rPr>
          <w:rFonts w:hint="eastAsia" w:cs="宋体"/>
          <w:b w:val="0"/>
          <w:bCs w:val="0"/>
          <w:sz w:val="21"/>
          <w:szCs w:val="21"/>
          <w:highlight w:val="none"/>
          <w:lang w:eastAsia="zh-CN"/>
        </w:rPr>
        <w:t>台账</w:t>
      </w:r>
      <w:r>
        <w:rPr>
          <w:rFonts w:hint="eastAsia" w:ascii="宋体" w:hAnsi="宋体" w:eastAsia="宋体" w:cs="宋体"/>
          <w:b w:val="0"/>
          <w:bCs w:val="0"/>
          <w:sz w:val="21"/>
          <w:szCs w:val="21"/>
          <w:highlight w:val="none"/>
          <w:lang w:eastAsia="zh-CN"/>
        </w:rPr>
        <w:t>记录，按月或季度装订成册交</w:t>
      </w:r>
      <w:r>
        <w:rPr>
          <w:rFonts w:hint="eastAsia" w:cs="宋体"/>
          <w:b w:val="0"/>
          <w:bCs w:val="0"/>
          <w:sz w:val="21"/>
          <w:szCs w:val="21"/>
          <w:highlight w:val="none"/>
          <w:lang w:eastAsia="zh-CN"/>
        </w:rPr>
        <w:t>采购人</w:t>
      </w:r>
      <w:r>
        <w:rPr>
          <w:rFonts w:hint="eastAsia" w:ascii="宋体" w:hAnsi="宋体" w:eastAsia="宋体" w:cs="宋体"/>
          <w:b w:val="0"/>
          <w:bCs w:val="0"/>
          <w:sz w:val="21"/>
          <w:szCs w:val="21"/>
          <w:highlight w:val="none"/>
          <w:lang w:eastAsia="zh-CN"/>
        </w:rPr>
        <w:t>保存。</w:t>
      </w:r>
    </w:p>
    <w:p w14:paraId="56E4918D">
      <w:pPr>
        <w:widowControl/>
        <w:spacing w:line="360" w:lineRule="auto"/>
        <w:ind w:firstLine="422" w:firstLineChars="200"/>
        <w:jc w:val="left"/>
        <w:rPr>
          <w:rFonts w:ascii="宋体" w:hAnsi="宋体" w:cs="宋体"/>
          <w:szCs w:val="21"/>
          <w:highlight w:val="none"/>
        </w:rPr>
      </w:pPr>
      <w:r>
        <w:rPr>
          <w:rFonts w:hint="eastAsia" w:ascii="宋体" w:hAnsi="宋体" w:cs="宋体"/>
          <w:b/>
          <w:bCs/>
          <w:szCs w:val="21"/>
          <w:highlight w:val="none"/>
          <w:lang w:val="en-US" w:eastAsia="zh-CN"/>
        </w:rPr>
        <w:t>4.10</w:t>
      </w:r>
      <w:r>
        <w:rPr>
          <w:rFonts w:hint="eastAsia" w:ascii="宋体" w:hAnsi="宋体" w:cs="宋体"/>
          <w:b/>
          <w:bCs/>
          <w:szCs w:val="21"/>
          <w:highlight w:val="none"/>
        </w:rPr>
        <w:t>检测批次与相关要求</w:t>
      </w:r>
    </w:p>
    <w:p w14:paraId="0D6DE3E5">
      <w:pPr>
        <w:widowControl/>
        <w:shd w:val="clear" w:color="auto" w:fill="auto"/>
        <w:spacing w:line="360" w:lineRule="auto"/>
        <w:ind w:firstLine="420" w:firstLineChars="200"/>
        <w:jc w:val="left"/>
        <w:rPr>
          <w:rFonts w:ascii="宋体" w:hAnsi="宋体" w:cs="宋体"/>
          <w:szCs w:val="21"/>
          <w:highlight w:val="none"/>
        </w:rPr>
      </w:pPr>
      <w:r>
        <w:rPr>
          <w:rFonts w:hint="eastAsia" w:ascii="宋体" w:hAnsi="宋体" w:cs="宋体"/>
          <w:szCs w:val="21"/>
          <w:highlight w:val="none"/>
          <w:lang w:val="en-US" w:eastAsia="zh-CN"/>
        </w:rPr>
        <w:t>4.10.1</w:t>
      </w:r>
      <w:r>
        <w:rPr>
          <w:rFonts w:hint="eastAsia" w:ascii="宋体" w:hAnsi="宋体" w:eastAsia="宋体"/>
          <w:color w:val="auto"/>
          <w:sz w:val="21"/>
          <w:szCs w:val="21"/>
          <w:highlight w:val="none"/>
        </w:rPr>
        <w:t>农贸市场快检室</w:t>
      </w:r>
      <w:r>
        <w:rPr>
          <w:rFonts w:hint="eastAsia" w:ascii="宋体" w:hAnsi="宋体"/>
          <w:color w:val="auto"/>
          <w:sz w:val="21"/>
          <w:szCs w:val="21"/>
          <w:highlight w:val="none"/>
          <w:lang w:eastAsia="zh-CN"/>
        </w:rPr>
        <w:t>按照采购人要求确认检测批次。</w:t>
      </w:r>
      <w:r>
        <w:rPr>
          <w:rFonts w:hint="eastAsia" w:ascii="宋体" w:hAnsi="宋体" w:cs="宋体"/>
          <w:b w:val="0"/>
          <w:bCs w:val="0"/>
          <w:sz w:val="21"/>
          <w:szCs w:val="21"/>
          <w:highlight w:val="none"/>
          <w:lang w:eastAsia="zh-CN"/>
        </w:rPr>
        <w:t>快检</w:t>
      </w:r>
      <w:r>
        <w:rPr>
          <w:rFonts w:hint="eastAsia" w:ascii="宋体" w:hAnsi="宋体" w:eastAsia="宋体" w:cs="宋体"/>
          <w:b w:val="0"/>
          <w:bCs w:val="0"/>
          <w:sz w:val="21"/>
          <w:szCs w:val="21"/>
          <w:highlight w:val="none"/>
        </w:rPr>
        <w:t>室应结合市场正常营业时间每日开展检测，</w:t>
      </w:r>
      <w:r>
        <w:rPr>
          <w:rFonts w:hint="eastAsia" w:ascii="宋体" w:hAnsi="宋体" w:eastAsia="宋体" w:cs="宋体"/>
          <w:b w:val="0"/>
          <w:bCs w:val="0"/>
          <w:sz w:val="21"/>
          <w:szCs w:val="21"/>
          <w:highlight w:val="none"/>
          <w:lang w:eastAsia="zh-CN"/>
        </w:rPr>
        <w:t>每半月对固定摊位经营户进行一次覆盖，每月对入场销售重点品种和重点项目进行基本覆盖；每日检测品种</w:t>
      </w:r>
      <w:r>
        <w:rPr>
          <w:rFonts w:hint="eastAsia" w:ascii="宋体" w:hAnsi="宋体" w:eastAsia="宋体" w:cs="宋体"/>
          <w:b w:val="0"/>
          <w:bCs w:val="0"/>
          <w:sz w:val="21"/>
          <w:szCs w:val="21"/>
          <w:highlight w:val="none"/>
          <w:lang w:val="en-US" w:eastAsia="zh-CN"/>
        </w:rPr>
        <w:t>参照生鲜蔬果、肉类水产、非法添加和其他7:1:1:1比例安排，同时农残项目中有机磷占比不得大于70%；</w:t>
      </w:r>
      <w:r>
        <w:rPr>
          <w:rFonts w:hint="eastAsia" w:ascii="宋体" w:hAnsi="宋体" w:eastAsia="宋体"/>
          <w:color w:val="auto"/>
          <w:sz w:val="21"/>
          <w:szCs w:val="21"/>
          <w:highlight w:val="none"/>
        </w:rPr>
        <w:t>免费接受老百姓的主动送检，并将检测结果及时公示，按照要求开展你点我检、基层执法等活动相关检测。</w:t>
      </w:r>
    </w:p>
    <w:p w14:paraId="1295EBA1">
      <w:pPr>
        <w:widowControl/>
        <w:spacing w:line="360" w:lineRule="auto"/>
        <w:ind w:firstLine="420" w:firstLineChars="200"/>
        <w:jc w:val="left"/>
        <w:rPr>
          <w:rFonts w:ascii="宋体" w:hAnsi="宋体" w:cs="宋体"/>
          <w:szCs w:val="21"/>
          <w:highlight w:val="none"/>
        </w:rPr>
      </w:pPr>
      <w:r>
        <w:rPr>
          <w:rFonts w:hint="eastAsia" w:ascii="宋体" w:hAnsi="宋体" w:cs="宋体"/>
          <w:szCs w:val="21"/>
          <w:highlight w:val="none"/>
          <w:lang w:val="en-US" w:eastAsia="zh-CN"/>
        </w:rPr>
        <w:t>4.10.2</w:t>
      </w:r>
      <w:r>
        <w:rPr>
          <w:rFonts w:hint="eastAsia" w:ascii="宋体" w:hAnsi="宋体" w:cs="宋体"/>
          <w:szCs w:val="21"/>
          <w:highlight w:val="none"/>
        </w:rPr>
        <w:t>本项目中标供应商需能够配合突发事件采取应急处理措施。</w:t>
      </w:r>
    </w:p>
    <w:p w14:paraId="408697BB">
      <w:pPr>
        <w:widowControl w:val="0"/>
        <w:spacing w:line="360" w:lineRule="auto"/>
        <w:ind w:firstLine="420" w:firstLineChars="0"/>
        <w:jc w:val="left"/>
        <w:rPr>
          <w:rFonts w:hint="default"/>
          <w:highlight w:val="none"/>
          <w:lang w:val="en-US" w:eastAsia="zh-CN"/>
        </w:rPr>
      </w:pPr>
      <w:r>
        <w:rPr>
          <w:rFonts w:hint="eastAsia" w:ascii="宋体" w:hAnsi="宋体" w:cs="宋体"/>
          <w:szCs w:val="21"/>
          <w:highlight w:val="none"/>
          <w:lang w:val="en-US" w:eastAsia="zh-CN"/>
        </w:rPr>
        <w:t>4.10.3</w:t>
      </w:r>
      <w:r>
        <w:rPr>
          <w:rFonts w:hint="eastAsia" w:ascii="宋体" w:hAnsi="宋体" w:cs="宋体"/>
          <w:szCs w:val="21"/>
          <w:highlight w:val="none"/>
        </w:rPr>
        <w:t>本项目中标供应商应根据季节变化、食品（食物）消费特点等情况，制定年、月、周快检计划，合理配置检测品种、检测项目。同时，检测计划应按时报送至采购人指定单位，</w:t>
      </w:r>
      <w:r>
        <w:rPr>
          <w:rFonts w:hint="eastAsia" w:ascii="宋体" w:hAnsi="宋体" w:cs="宋体"/>
          <w:b w:val="0"/>
          <w:bCs w:val="0"/>
          <w:color w:val="auto"/>
          <w:sz w:val="21"/>
          <w:szCs w:val="21"/>
          <w:highlight w:val="none"/>
          <w:lang w:val="en-US" w:eastAsia="zh-CN" w:bidi="ar-SA"/>
        </w:rPr>
        <w:t>采购人</w:t>
      </w:r>
      <w:r>
        <w:rPr>
          <w:rFonts w:hint="eastAsia" w:ascii="宋体" w:hAnsi="宋体" w:eastAsia="宋体" w:cs="宋体"/>
          <w:b w:val="0"/>
          <w:bCs w:val="0"/>
          <w:color w:val="auto"/>
          <w:sz w:val="21"/>
          <w:szCs w:val="21"/>
          <w:highlight w:val="none"/>
          <w:lang w:val="en-US" w:eastAsia="zh-CN" w:bidi="ar-SA"/>
        </w:rPr>
        <w:t>根据本地实际及专项整治要求、季节变化等情况，可要求对快检数量和项目做适当的调整。所有检测项目所用到的检测设备、试剂、耗材及采样费、场地费、水电费等都包括在服务费用中，不再另行支付。</w:t>
      </w:r>
    </w:p>
    <w:p w14:paraId="0F798055">
      <w:pPr>
        <w:spacing w:line="360" w:lineRule="auto"/>
        <w:ind w:firstLine="422" w:firstLineChars="200"/>
        <w:rPr>
          <w:rFonts w:hint="eastAsia" w:ascii="宋体" w:hAnsi="宋体" w:eastAsia="宋体" w:cs="宋体"/>
          <w:szCs w:val="21"/>
          <w:highlight w:val="none"/>
          <w:lang w:eastAsia="zh-CN"/>
        </w:rPr>
      </w:pPr>
      <w:r>
        <w:rPr>
          <w:rFonts w:hint="eastAsia" w:ascii="宋体" w:hAnsi="宋体" w:cs="宋体"/>
          <w:b/>
          <w:bCs/>
          <w:szCs w:val="21"/>
          <w:highlight w:val="none"/>
          <w:lang w:val="en-US" w:eastAsia="zh-CN"/>
        </w:rPr>
        <w:t>4.11</w:t>
      </w:r>
      <w:r>
        <w:rPr>
          <w:rFonts w:hint="eastAsia" w:ascii="宋体" w:hAnsi="宋体" w:cs="宋体"/>
          <w:b/>
          <w:bCs/>
          <w:szCs w:val="21"/>
          <w:highlight w:val="none"/>
          <w:lang w:eastAsia="zh-CN"/>
        </w:rPr>
        <w:t>人员要求</w:t>
      </w:r>
    </w:p>
    <w:p w14:paraId="3197544A">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宋体" w:hAnsi="宋体" w:cs="宋体"/>
          <w:szCs w:val="21"/>
          <w:highlight w:val="none"/>
        </w:rPr>
      </w:pPr>
      <w:r>
        <w:rPr>
          <w:rFonts w:hint="eastAsia" w:ascii="宋体" w:hAnsi="宋体" w:cs="宋体"/>
          <w:szCs w:val="21"/>
          <w:highlight w:val="none"/>
          <w:lang w:val="en-US" w:eastAsia="zh-CN"/>
        </w:rPr>
        <w:t>4.11.1</w:t>
      </w:r>
      <w:r>
        <w:rPr>
          <w:rFonts w:hint="eastAsia" w:ascii="宋体" w:hAnsi="宋体" w:cs="宋体"/>
          <w:szCs w:val="21"/>
          <w:highlight w:val="none"/>
        </w:rPr>
        <w:t>人员配备满足本项目实际需求</w:t>
      </w:r>
      <w:r>
        <w:rPr>
          <w:rFonts w:hint="eastAsia" w:ascii="宋体" w:hAnsi="宋体" w:cs="宋体"/>
          <w:szCs w:val="21"/>
          <w:highlight w:val="none"/>
          <w:lang w:eastAsia="zh-CN"/>
        </w:rPr>
        <w:t>，</w:t>
      </w:r>
      <w:r>
        <w:rPr>
          <w:rFonts w:hint="eastAsia" w:ascii="宋体" w:hAnsi="宋体" w:eastAsia="宋体" w:cs="宋体"/>
          <w:b/>
          <w:bCs/>
          <w:color w:val="auto"/>
          <w:kern w:val="0"/>
          <w:sz w:val="21"/>
          <w:szCs w:val="21"/>
          <w:highlight w:val="none"/>
          <w:lang w:eastAsia="zh-CN"/>
        </w:rPr>
        <w:t>农贸市场</w:t>
      </w:r>
      <w:r>
        <w:rPr>
          <w:rFonts w:hint="eastAsia" w:ascii="宋体" w:hAnsi="宋体" w:cs="宋体"/>
          <w:b/>
          <w:bCs/>
          <w:color w:val="auto"/>
          <w:kern w:val="0"/>
          <w:sz w:val="21"/>
          <w:szCs w:val="21"/>
          <w:highlight w:val="none"/>
          <w:lang w:val="en-US" w:eastAsia="zh-CN"/>
        </w:rPr>
        <w:t>（商超）</w:t>
      </w:r>
      <w:r>
        <w:rPr>
          <w:rFonts w:hint="eastAsia" w:ascii="宋体" w:hAnsi="宋体" w:eastAsia="宋体" w:cs="宋体"/>
          <w:b/>
          <w:bCs/>
          <w:color w:val="auto"/>
          <w:kern w:val="0"/>
          <w:sz w:val="21"/>
          <w:szCs w:val="21"/>
          <w:highlight w:val="none"/>
          <w:lang w:eastAsia="zh-CN"/>
        </w:rPr>
        <w:t>快检运维单位需为本项目至少配备</w:t>
      </w:r>
      <w:r>
        <w:rPr>
          <w:rFonts w:hint="eastAsia" w:ascii="宋体" w:hAnsi="宋体" w:eastAsia="宋体" w:cs="宋体"/>
          <w:b/>
          <w:bCs/>
          <w:color w:val="auto"/>
          <w:kern w:val="0"/>
          <w:sz w:val="21"/>
          <w:szCs w:val="21"/>
          <w:highlight w:val="none"/>
        </w:rPr>
        <w:t>1名专职的项目负责人</w:t>
      </w:r>
      <w:r>
        <w:rPr>
          <w:rFonts w:hint="eastAsia" w:ascii="宋体" w:hAnsi="宋体" w:eastAsia="宋体" w:cs="宋体"/>
          <w:b/>
          <w:bCs/>
          <w:color w:val="auto"/>
          <w:kern w:val="0"/>
          <w:sz w:val="21"/>
          <w:szCs w:val="21"/>
          <w:highlight w:val="none"/>
          <w:lang w:eastAsia="zh-CN"/>
        </w:rPr>
        <w:t>，</w:t>
      </w:r>
      <w:r>
        <w:rPr>
          <w:rFonts w:hint="eastAsia" w:ascii="宋体" w:hAnsi="宋体" w:cs="宋体"/>
          <w:b/>
          <w:bCs/>
          <w:color w:val="auto"/>
          <w:kern w:val="0"/>
          <w:sz w:val="21"/>
          <w:szCs w:val="21"/>
          <w:highlight w:val="none"/>
          <w:lang w:val="en-US" w:eastAsia="zh-CN"/>
        </w:rPr>
        <w:t>2</w:t>
      </w:r>
      <w:r>
        <w:rPr>
          <w:rFonts w:hint="eastAsia" w:ascii="宋体" w:hAnsi="宋体" w:eastAsia="宋体" w:cs="宋体"/>
          <w:b/>
          <w:bCs/>
          <w:color w:val="auto"/>
          <w:kern w:val="0"/>
          <w:sz w:val="21"/>
          <w:szCs w:val="21"/>
          <w:highlight w:val="none"/>
          <w:lang w:val="en-US" w:eastAsia="zh-CN"/>
        </w:rPr>
        <w:t>名专职快检服务人员，</w:t>
      </w:r>
      <w:r>
        <w:rPr>
          <w:rFonts w:hint="eastAsia" w:ascii="宋体" w:hAnsi="宋体" w:cs="宋体"/>
          <w:b/>
          <w:bCs/>
          <w:color w:val="auto"/>
          <w:kern w:val="0"/>
          <w:sz w:val="21"/>
          <w:szCs w:val="21"/>
          <w:highlight w:val="none"/>
          <w:lang w:val="en-US" w:eastAsia="zh-CN"/>
        </w:rPr>
        <w:t>每个农贸市场（商超）提供不少于1人的兼职快检人员。</w:t>
      </w:r>
    </w:p>
    <w:p w14:paraId="29ADF288">
      <w:pPr>
        <w:widowControl/>
        <w:spacing w:line="360" w:lineRule="auto"/>
        <w:ind w:firstLine="420" w:firstLineChars="200"/>
        <w:jc w:val="left"/>
        <w:rPr>
          <w:rFonts w:hint="default"/>
          <w:highlight w:val="none"/>
          <w:lang w:val="en-US" w:eastAsia="zh-CN"/>
        </w:rPr>
      </w:pPr>
      <w:r>
        <w:rPr>
          <w:rFonts w:hint="eastAsia" w:ascii="宋体" w:hAnsi="宋体" w:cs="宋体"/>
          <w:szCs w:val="21"/>
          <w:highlight w:val="none"/>
          <w:lang w:val="en-US" w:eastAsia="zh-CN"/>
        </w:rPr>
        <w:t>4.11.2</w:t>
      </w:r>
      <w:r>
        <w:rPr>
          <w:rFonts w:hint="default" w:ascii="Times New Roman" w:hAnsi="Times New Roman" w:cs="Times New Roman"/>
          <w:szCs w:val="21"/>
          <w:highlight w:val="none"/>
          <w:lang w:val="en-US" w:eastAsia="zh-CN"/>
        </w:rPr>
        <w:t>专</w:t>
      </w:r>
      <w:r>
        <w:rPr>
          <w:rFonts w:hint="default" w:ascii="Times New Roman" w:hAnsi="Times New Roman" w:cs="Times New Roman"/>
          <w:szCs w:val="21"/>
          <w:highlight w:val="none"/>
        </w:rPr>
        <w:t>职快检服务人员须缴纳社保（以上内容须提供复印件留存）</w:t>
      </w:r>
      <w:r>
        <w:rPr>
          <w:rFonts w:hint="default" w:ascii="Times New Roman" w:hAnsi="Times New Roman" w:cs="Times New Roman"/>
          <w:szCs w:val="21"/>
          <w:highlight w:val="none"/>
          <w:lang w:eastAsia="zh-CN"/>
        </w:rPr>
        <w:t>，</w:t>
      </w:r>
      <w:r>
        <w:rPr>
          <w:rFonts w:hint="default" w:ascii="Times New Roman" w:hAnsi="Times New Roman" w:cs="Times New Roman"/>
          <w:szCs w:val="21"/>
          <w:highlight w:val="none"/>
        </w:rPr>
        <w:t>每年进行</w:t>
      </w:r>
      <w:r>
        <w:rPr>
          <w:rFonts w:hint="default" w:ascii="Times New Roman" w:hAnsi="Times New Roman" w:cs="Times New Roman"/>
          <w:szCs w:val="21"/>
          <w:highlight w:val="none"/>
          <w:lang w:val="en-US" w:eastAsia="zh-CN"/>
        </w:rPr>
        <w:t>相应的</w:t>
      </w:r>
      <w:r>
        <w:rPr>
          <w:rFonts w:hint="default" w:ascii="Times New Roman" w:hAnsi="Times New Roman" w:cs="Times New Roman"/>
          <w:szCs w:val="21"/>
          <w:highlight w:val="none"/>
        </w:rPr>
        <w:t>技术培训，对突发情况要有预案。快检人员工作时应穿着工作服、佩戴工作证，及时响应采购人在区域内重大活动保障、节假日专项抽检、食品安全宣传等项目需求。</w:t>
      </w:r>
      <w:r>
        <w:rPr>
          <w:rFonts w:hint="eastAsia" w:cs="Times New Roman"/>
          <w:b w:val="0"/>
          <w:bCs w:val="0"/>
          <w:sz w:val="21"/>
          <w:szCs w:val="21"/>
          <w:highlight w:val="none"/>
          <w:lang w:eastAsia="zh-CN"/>
        </w:rPr>
        <w:t>供应商</w:t>
      </w:r>
      <w:r>
        <w:rPr>
          <w:rFonts w:hint="default" w:ascii="Times New Roman" w:hAnsi="Times New Roman" w:eastAsia="宋体" w:cs="Times New Roman"/>
          <w:b w:val="0"/>
          <w:bCs w:val="0"/>
          <w:sz w:val="21"/>
          <w:szCs w:val="21"/>
          <w:highlight w:val="none"/>
          <w:lang w:eastAsia="zh-CN"/>
        </w:rPr>
        <w:t>应建立内部培训管理制度，定期组织开展食品安全法律法规、仪器使用与管理、法定计量单位、数据处理、质量控制及管理等方面的培训。</w:t>
      </w:r>
      <w:r>
        <w:rPr>
          <w:rFonts w:hint="default" w:cs="Times New Roman"/>
          <w:b w:val="0"/>
          <w:bCs w:val="0"/>
          <w:sz w:val="21"/>
          <w:szCs w:val="21"/>
          <w:highlight w:val="none"/>
          <w:lang w:eastAsia="zh-CN"/>
        </w:rPr>
        <w:t>采购人</w:t>
      </w:r>
      <w:r>
        <w:rPr>
          <w:rFonts w:hint="default" w:ascii="Times New Roman" w:hAnsi="Times New Roman" w:eastAsia="宋体" w:cs="Times New Roman"/>
          <w:b w:val="0"/>
          <w:bCs w:val="0"/>
          <w:sz w:val="21"/>
          <w:szCs w:val="21"/>
          <w:highlight w:val="none"/>
          <w:lang w:eastAsia="zh-CN"/>
        </w:rPr>
        <w:t>对快检服务人员工作不满意可要求供应商在3天内更换人员。供应商的专职服务人员需长期固定在南京，提供本地化服务，还需提供确定固定的储备专职专业技术人员名单，以满足</w:t>
      </w:r>
      <w:r>
        <w:rPr>
          <w:rFonts w:hint="default" w:cs="Times New Roman"/>
          <w:b w:val="0"/>
          <w:bCs w:val="0"/>
          <w:sz w:val="21"/>
          <w:szCs w:val="21"/>
          <w:highlight w:val="none"/>
          <w:lang w:eastAsia="zh-CN"/>
        </w:rPr>
        <w:t>采购人</w:t>
      </w:r>
      <w:r>
        <w:rPr>
          <w:rFonts w:hint="default" w:ascii="Times New Roman" w:hAnsi="Times New Roman" w:eastAsia="宋体" w:cs="Times New Roman"/>
          <w:b w:val="0"/>
          <w:bCs w:val="0"/>
          <w:sz w:val="21"/>
          <w:szCs w:val="21"/>
          <w:highlight w:val="none"/>
          <w:lang w:eastAsia="zh-CN"/>
        </w:rPr>
        <w:t>对服务人员的更换需求。</w:t>
      </w:r>
    </w:p>
    <w:p w14:paraId="3A702F81">
      <w:pPr>
        <w:spacing w:line="360" w:lineRule="auto"/>
        <w:ind w:firstLine="420" w:firstLineChars="200"/>
        <w:rPr>
          <w:rFonts w:ascii="宋体" w:hAnsi="宋体" w:cs="宋体"/>
          <w:szCs w:val="21"/>
          <w:highlight w:val="none"/>
        </w:rPr>
      </w:pPr>
      <w:r>
        <w:rPr>
          <w:rFonts w:hint="eastAsia" w:ascii="宋体" w:hAnsi="宋体" w:cs="宋体"/>
          <w:szCs w:val="21"/>
          <w:highlight w:val="none"/>
          <w:lang w:val="en-US" w:eastAsia="zh-CN"/>
        </w:rPr>
        <w:t>4.12</w:t>
      </w:r>
      <w:r>
        <w:rPr>
          <w:rFonts w:hint="eastAsia" w:ascii="宋体" w:hAnsi="宋体" w:cs="宋体"/>
          <w:szCs w:val="21"/>
          <w:highlight w:val="none"/>
        </w:rPr>
        <w:t>其他服务</w:t>
      </w:r>
    </w:p>
    <w:p w14:paraId="491A29C6">
      <w:pPr>
        <w:pStyle w:val="253"/>
        <w:keepNext w:val="0"/>
        <w:keepLines w:val="0"/>
        <w:pageBreakBefore w:val="0"/>
        <w:widowControl w:val="0"/>
        <w:numPr>
          <w:ilvl w:val="0"/>
          <w:numId w:val="0"/>
        </w:numPr>
        <w:spacing w:before="0" w:after="0" w:line="360" w:lineRule="auto"/>
        <w:ind w:right="0" w:firstLine="420"/>
        <w:jc w:val="both"/>
        <w:rPr>
          <w:rFonts w:hint="eastAsia" w:ascii="宋体" w:hAnsi="宋体" w:eastAsia="宋体" w:cs="宋体"/>
          <w:b w:val="0"/>
          <w:bCs w:val="0"/>
          <w:sz w:val="21"/>
          <w:szCs w:val="21"/>
          <w:highlight w:val="none"/>
          <w:lang w:eastAsia="zh-CN"/>
        </w:rPr>
      </w:pPr>
      <w:r>
        <w:rPr>
          <w:rFonts w:hint="eastAsia" w:cs="宋体"/>
          <w:b w:val="0"/>
          <w:bCs w:val="0"/>
          <w:sz w:val="21"/>
          <w:szCs w:val="21"/>
          <w:highlight w:val="none"/>
          <w:lang w:val="en-US" w:eastAsia="zh-CN"/>
        </w:rPr>
        <w:t>4.12.1</w:t>
      </w:r>
      <w:r>
        <w:rPr>
          <w:rFonts w:hint="eastAsia" w:ascii="宋体" w:hAnsi="宋体" w:eastAsia="宋体" w:cs="宋体"/>
          <w:b w:val="0"/>
          <w:bCs w:val="0"/>
          <w:sz w:val="21"/>
          <w:szCs w:val="21"/>
          <w:highlight w:val="none"/>
          <w:lang w:val="en-US" w:eastAsia="zh-CN"/>
        </w:rPr>
        <w:t>配合</w:t>
      </w:r>
      <w:r>
        <w:rPr>
          <w:rFonts w:hint="eastAsia" w:cs="宋体"/>
          <w:b w:val="0"/>
          <w:bCs w:val="0"/>
          <w:sz w:val="21"/>
          <w:szCs w:val="21"/>
          <w:highlight w:val="none"/>
          <w:lang w:val="en-US" w:eastAsia="zh-CN"/>
        </w:rPr>
        <w:t>采购人</w:t>
      </w:r>
      <w:r>
        <w:rPr>
          <w:rFonts w:hint="eastAsia" w:ascii="宋体" w:hAnsi="宋体" w:eastAsia="宋体" w:cs="宋体"/>
          <w:b w:val="0"/>
          <w:bCs w:val="0"/>
          <w:sz w:val="21"/>
          <w:szCs w:val="21"/>
          <w:highlight w:val="none"/>
          <w:lang w:val="en-US" w:eastAsia="zh-CN"/>
        </w:rPr>
        <w:t>开展食品快检结果验证，有关验证工作应精心谋划、科学设计，做到程序规范、记录完整、数据真实、过程可追溯；</w:t>
      </w:r>
    </w:p>
    <w:p w14:paraId="5FB5FE27">
      <w:pPr>
        <w:pStyle w:val="253"/>
        <w:keepNext w:val="0"/>
        <w:keepLines w:val="0"/>
        <w:pageBreakBefore w:val="0"/>
        <w:widowControl w:val="0"/>
        <w:numPr>
          <w:ilvl w:val="0"/>
          <w:numId w:val="0"/>
        </w:numPr>
        <w:spacing w:before="0" w:after="0" w:line="360" w:lineRule="auto"/>
        <w:ind w:right="0" w:firstLine="420"/>
        <w:jc w:val="both"/>
        <w:rPr>
          <w:rFonts w:hint="eastAsia" w:ascii="宋体" w:hAnsi="宋体" w:eastAsia="宋体" w:cs="宋体"/>
          <w:b w:val="0"/>
          <w:bCs w:val="0"/>
          <w:sz w:val="21"/>
          <w:szCs w:val="21"/>
          <w:highlight w:val="none"/>
          <w:lang w:val="en-US" w:eastAsia="zh-CN"/>
        </w:rPr>
      </w:pPr>
      <w:r>
        <w:rPr>
          <w:rFonts w:hint="eastAsia" w:cs="宋体"/>
          <w:b w:val="0"/>
          <w:bCs w:val="0"/>
          <w:sz w:val="21"/>
          <w:szCs w:val="21"/>
          <w:highlight w:val="none"/>
          <w:lang w:val="en-US" w:eastAsia="zh-CN"/>
        </w:rPr>
        <w:t>4.12.2</w:t>
      </w:r>
      <w:r>
        <w:rPr>
          <w:rFonts w:hint="eastAsia" w:ascii="宋体" w:hAnsi="宋体" w:eastAsia="宋体" w:cs="宋体"/>
          <w:b w:val="0"/>
          <w:bCs w:val="0"/>
          <w:sz w:val="21"/>
          <w:szCs w:val="21"/>
          <w:highlight w:val="none"/>
          <w:lang w:val="en-US" w:eastAsia="zh-CN"/>
        </w:rPr>
        <w:t>配合开展食品安全宣传活动，包括但不限于进校园、进社区、广场宣传等科普宣传，你送我检、你点我检等便民服务活动，为</w:t>
      </w:r>
      <w:r>
        <w:rPr>
          <w:rFonts w:hint="eastAsia" w:cs="宋体"/>
          <w:b w:val="0"/>
          <w:bCs w:val="0"/>
          <w:sz w:val="21"/>
          <w:szCs w:val="21"/>
          <w:highlight w:val="none"/>
          <w:lang w:val="en-US" w:eastAsia="zh-CN"/>
        </w:rPr>
        <w:t>采购人</w:t>
      </w:r>
      <w:r>
        <w:rPr>
          <w:rFonts w:hint="eastAsia" w:ascii="宋体" w:hAnsi="宋体" w:eastAsia="宋体" w:cs="宋体"/>
          <w:b w:val="0"/>
          <w:bCs w:val="0"/>
          <w:sz w:val="21"/>
          <w:szCs w:val="21"/>
          <w:highlight w:val="none"/>
          <w:lang w:val="en-US" w:eastAsia="zh-CN"/>
        </w:rPr>
        <w:t>有关食品安全宣传活动提供咨询或协助开展宣讲，扩大食品快检工作群众知晓率；</w:t>
      </w:r>
    </w:p>
    <w:p w14:paraId="3B62E5D3">
      <w:pPr>
        <w:pStyle w:val="253"/>
        <w:keepNext w:val="0"/>
        <w:keepLines w:val="0"/>
        <w:pageBreakBefore w:val="0"/>
        <w:widowControl w:val="0"/>
        <w:numPr>
          <w:ilvl w:val="0"/>
          <w:numId w:val="0"/>
        </w:numPr>
        <w:spacing w:before="0" w:after="0" w:line="360" w:lineRule="auto"/>
        <w:ind w:right="0" w:firstLine="420"/>
        <w:jc w:val="both"/>
        <w:rPr>
          <w:rFonts w:hint="eastAsia" w:ascii="宋体" w:hAnsi="宋体" w:eastAsia="宋体" w:cs="宋体"/>
          <w:b w:val="0"/>
          <w:bCs w:val="0"/>
          <w:sz w:val="21"/>
          <w:szCs w:val="21"/>
          <w:highlight w:val="none"/>
          <w:lang w:eastAsia="zh-CN"/>
        </w:rPr>
      </w:pPr>
      <w:r>
        <w:rPr>
          <w:rFonts w:hint="eastAsia" w:cs="宋体"/>
          <w:b w:val="0"/>
          <w:bCs w:val="0"/>
          <w:sz w:val="21"/>
          <w:szCs w:val="21"/>
          <w:highlight w:val="none"/>
          <w:lang w:val="en-US" w:eastAsia="zh-CN"/>
        </w:rPr>
        <w:t>4.12.3</w:t>
      </w:r>
      <w:r>
        <w:rPr>
          <w:rFonts w:hint="eastAsia" w:ascii="宋体" w:hAnsi="宋体" w:eastAsia="宋体" w:cs="宋体"/>
          <w:b w:val="0"/>
          <w:bCs w:val="0"/>
          <w:sz w:val="21"/>
          <w:szCs w:val="21"/>
          <w:highlight w:val="none"/>
          <w:lang w:eastAsia="zh-CN"/>
        </w:rPr>
        <w:t>每月开展快检室工作内部自查，对自查发现问题及时整改，自查报告在快检室内留存备查；</w:t>
      </w:r>
    </w:p>
    <w:p w14:paraId="3E925468">
      <w:pPr>
        <w:pStyle w:val="253"/>
        <w:keepNext w:val="0"/>
        <w:keepLines w:val="0"/>
        <w:pageBreakBefore w:val="0"/>
        <w:widowControl w:val="0"/>
        <w:numPr>
          <w:ilvl w:val="0"/>
          <w:numId w:val="0"/>
        </w:numPr>
        <w:spacing w:before="0" w:after="0" w:line="360" w:lineRule="auto"/>
        <w:ind w:right="0" w:firstLine="420"/>
        <w:jc w:val="both"/>
        <w:rPr>
          <w:rFonts w:hint="eastAsia" w:ascii="宋体" w:hAnsi="宋体" w:eastAsia="宋体" w:cs="宋体"/>
          <w:b w:val="0"/>
          <w:bCs w:val="0"/>
          <w:sz w:val="21"/>
          <w:szCs w:val="21"/>
          <w:highlight w:val="none"/>
        </w:rPr>
      </w:pPr>
      <w:r>
        <w:rPr>
          <w:rFonts w:hint="eastAsia" w:cs="宋体"/>
          <w:b w:val="0"/>
          <w:bCs w:val="0"/>
          <w:sz w:val="21"/>
          <w:szCs w:val="21"/>
          <w:highlight w:val="none"/>
          <w:lang w:val="en-US" w:eastAsia="zh-CN"/>
        </w:rPr>
        <w:t>4.12.4</w:t>
      </w:r>
      <w:r>
        <w:rPr>
          <w:rFonts w:hint="eastAsia" w:ascii="宋体" w:hAnsi="宋体" w:eastAsia="宋体" w:cs="宋体"/>
          <w:b w:val="0"/>
          <w:bCs w:val="0"/>
          <w:sz w:val="21"/>
          <w:szCs w:val="21"/>
          <w:highlight w:val="none"/>
        </w:rPr>
        <w:t>每</w:t>
      </w:r>
      <w:r>
        <w:rPr>
          <w:rFonts w:hint="eastAsia" w:ascii="宋体" w:hAnsi="宋体" w:eastAsia="宋体" w:cs="宋体"/>
          <w:b w:val="0"/>
          <w:bCs w:val="0"/>
          <w:sz w:val="21"/>
          <w:szCs w:val="21"/>
          <w:highlight w:val="none"/>
          <w:lang w:eastAsia="zh-CN"/>
        </w:rPr>
        <w:t>季度对检测人员进行至少一次</w:t>
      </w:r>
      <w:r>
        <w:rPr>
          <w:rFonts w:hint="eastAsia" w:ascii="宋体" w:hAnsi="宋体" w:eastAsia="宋体" w:cs="宋体"/>
          <w:b w:val="0"/>
          <w:bCs w:val="0"/>
          <w:sz w:val="21"/>
          <w:szCs w:val="21"/>
          <w:highlight w:val="none"/>
        </w:rPr>
        <w:t>检测专业技能培训</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检测人员专业技能培训不少于40小时/年</w:t>
      </w:r>
      <w:r>
        <w:rPr>
          <w:rFonts w:hint="eastAsia" w:ascii="宋体" w:hAnsi="宋体" w:eastAsia="宋体" w:cs="宋体"/>
          <w:b w:val="0"/>
          <w:bCs w:val="0"/>
          <w:sz w:val="21"/>
          <w:szCs w:val="21"/>
          <w:highlight w:val="none"/>
          <w:lang w:eastAsia="zh-CN"/>
        </w:rPr>
        <w:t>，服务期内根据</w:t>
      </w:r>
      <w:r>
        <w:rPr>
          <w:rFonts w:hint="eastAsia" w:cs="宋体"/>
          <w:b w:val="0"/>
          <w:bCs w:val="0"/>
          <w:sz w:val="21"/>
          <w:szCs w:val="21"/>
          <w:highlight w:val="none"/>
          <w:lang w:eastAsia="zh-CN"/>
        </w:rPr>
        <w:t>采购人</w:t>
      </w:r>
      <w:r>
        <w:rPr>
          <w:rFonts w:hint="eastAsia" w:ascii="宋体" w:hAnsi="宋体" w:eastAsia="宋体" w:cs="宋体"/>
          <w:b w:val="0"/>
          <w:bCs w:val="0"/>
          <w:sz w:val="21"/>
          <w:szCs w:val="21"/>
          <w:highlight w:val="none"/>
          <w:lang w:eastAsia="zh-CN"/>
        </w:rPr>
        <w:t>安排，配合为其他运维单位或相关单位开展培训</w:t>
      </w:r>
      <w:r>
        <w:rPr>
          <w:rFonts w:hint="eastAsia" w:ascii="宋体" w:hAnsi="宋体" w:eastAsia="宋体" w:cs="宋体"/>
          <w:b w:val="0"/>
          <w:bCs w:val="0"/>
          <w:sz w:val="21"/>
          <w:szCs w:val="21"/>
          <w:highlight w:val="none"/>
        </w:rPr>
        <w:t>；</w:t>
      </w:r>
    </w:p>
    <w:p w14:paraId="5BDE55C8">
      <w:pPr>
        <w:pStyle w:val="253"/>
        <w:keepNext w:val="0"/>
        <w:keepLines w:val="0"/>
        <w:pageBreakBefore w:val="0"/>
        <w:widowControl w:val="0"/>
        <w:numPr>
          <w:ilvl w:val="0"/>
          <w:numId w:val="0"/>
        </w:numPr>
        <w:spacing w:before="0" w:after="0" w:line="360" w:lineRule="auto"/>
        <w:ind w:right="0" w:firstLine="420"/>
        <w:jc w:val="both"/>
        <w:rPr>
          <w:rFonts w:hint="eastAsia" w:ascii="宋体" w:hAnsi="宋体" w:eastAsia="宋体" w:cs="宋体"/>
          <w:b w:val="0"/>
          <w:bCs w:val="0"/>
          <w:sz w:val="21"/>
          <w:szCs w:val="21"/>
          <w:highlight w:val="none"/>
        </w:rPr>
      </w:pPr>
      <w:r>
        <w:rPr>
          <w:rFonts w:hint="eastAsia" w:cs="宋体"/>
          <w:b w:val="0"/>
          <w:bCs w:val="0"/>
          <w:sz w:val="21"/>
          <w:szCs w:val="21"/>
          <w:highlight w:val="none"/>
          <w:lang w:val="en-US" w:eastAsia="zh-CN"/>
        </w:rPr>
        <w:t>4.12.5</w:t>
      </w:r>
      <w:r>
        <w:rPr>
          <w:rFonts w:hint="eastAsia" w:ascii="宋体" w:hAnsi="宋体" w:eastAsia="宋体" w:cs="宋体"/>
          <w:b w:val="0"/>
          <w:bCs w:val="0"/>
          <w:sz w:val="21"/>
          <w:szCs w:val="21"/>
          <w:highlight w:val="none"/>
          <w:lang w:val="en-US" w:eastAsia="zh-CN"/>
        </w:rPr>
        <w:t>其他应急服务。</w:t>
      </w:r>
    </w:p>
    <w:p w14:paraId="271C407A">
      <w:pPr>
        <w:shd w:val="clear" w:color="auto" w:fill="auto"/>
        <w:spacing w:line="360" w:lineRule="auto"/>
        <w:ind w:firstLine="422" w:firstLineChars="200"/>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六</w:t>
      </w:r>
      <w:r>
        <w:rPr>
          <w:rFonts w:hint="eastAsia" w:ascii="宋体" w:hAnsi="宋体" w:eastAsia="宋体"/>
          <w:b/>
          <w:bCs/>
          <w:color w:val="auto"/>
          <w:sz w:val="21"/>
          <w:szCs w:val="21"/>
          <w:highlight w:val="none"/>
        </w:rPr>
        <w:t>、服务质量要求</w:t>
      </w:r>
    </w:p>
    <w:p w14:paraId="210C4D6B">
      <w:pPr>
        <w:pStyle w:val="253"/>
        <w:keepNext w:val="0"/>
        <w:keepLines w:val="0"/>
        <w:pageBreakBefore w:val="0"/>
        <w:widowControl w:val="0"/>
        <w:numPr>
          <w:ilvl w:val="0"/>
          <w:numId w:val="0"/>
        </w:numPr>
        <w:spacing w:before="0" w:after="0" w:line="360" w:lineRule="auto"/>
        <w:ind w:right="0" w:firstLine="420"/>
        <w:jc w:val="both"/>
        <w:rPr>
          <w:rFonts w:hint="default" w:ascii="Times New Roman" w:hAnsi="Times New Roman" w:cs="Times New Roman"/>
          <w:sz w:val="21"/>
          <w:szCs w:val="21"/>
          <w:highlight w:val="none"/>
          <w:lang w:val="en-US" w:eastAsia="zh-CN"/>
        </w:rPr>
      </w:pPr>
      <w:r>
        <w:rPr>
          <w:rFonts w:hint="eastAsia" w:ascii="Times New Roman" w:hAnsi="Times New Roman" w:cs="Times New Roman"/>
          <w:b w:val="0"/>
          <w:bCs w:val="0"/>
          <w:sz w:val="21"/>
          <w:szCs w:val="21"/>
          <w:highlight w:val="none"/>
          <w:lang w:val="en-US" w:eastAsia="zh-CN"/>
        </w:rPr>
        <w:t>6.1</w:t>
      </w:r>
      <w:r>
        <w:rPr>
          <w:rFonts w:hint="default" w:ascii="Times New Roman" w:hAnsi="Times New Roman" w:cs="Times New Roman"/>
          <w:sz w:val="21"/>
          <w:szCs w:val="21"/>
          <w:highlight w:val="none"/>
          <w:lang w:val="en-US" w:eastAsia="zh-CN"/>
        </w:rPr>
        <w:t>本项目涉及的所有检验数据、评估报告只能对采购人提供，供应商不得自行对外公布相关的检验数据和结论性信息，不得将受委托事项再行委托其他单位实施。</w:t>
      </w:r>
    </w:p>
    <w:p w14:paraId="02FFE15F">
      <w:pPr>
        <w:pStyle w:val="253"/>
        <w:keepNext w:val="0"/>
        <w:keepLines w:val="0"/>
        <w:pageBreakBefore w:val="0"/>
        <w:widowControl w:val="0"/>
        <w:numPr>
          <w:ilvl w:val="0"/>
          <w:numId w:val="0"/>
        </w:numPr>
        <w:spacing w:before="0" w:after="0" w:line="360" w:lineRule="auto"/>
        <w:ind w:right="0" w:firstLine="420"/>
        <w:jc w:val="both"/>
        <w:rPr>
          <w:rFonts w:hint="default" w:ascii="Times New Roman" w:hAnsi="Times New Roman" w:cs="Times New Roman"/>
          <w:sz w:val="21"/>
          <w:szCs w:val="21"/>
          <w:highlight w:val="none"/>
          <w:lang w:val="en-US" w:eastAsia="zh-CN"/>
        </w:rPr>
      </w:pPr>
      <w:r>
        <w:rPr>
          <w:rFonts w:hint="eastAsia" w:ascii="Times New Roman" w:hAnsi="Times New Roman" w:cs="Times New Roman"/>
          <w:b w:val="0"/>
          <w:bCs w:val="0"/>
          <w:sz w:val="21"/>
          <w:szCs w:val="21"/>
          <w:highlight w:val="none"/>
          <w:lang w:val="en-US" w:eastAsia="zh-CN"/>
        </w:rPr>
        <w:t>6.2</w:t>
      </w:r>
      <w:r>
        <w:rPr>
          <w:rFonts w:hint="default" w:ascii="Times New Roman" w:hAnsi="Times New Roman" w:cs="Times New Roman"/>
          <w:sz w:val="21"/>
          <w:szCs w:val="21"/>
          <w:highlight w:val="none"/>
          <w:lang w:val="en-US" w:eastAsia="zh-CN"/>
        </w:rPr>
        <w:t>及时并主动向采购人提供快检分析报告、考核报告，对检验、考核结果进行分析总结。自觉接受社会各界监督，协助采购人对相关举报投诉进行调查处理。</w:t>
      </w:r>
    </w:p>
    <w:p w14:paraId="3C2C0B55">
      <w:pPr>
        <w:pStyle w:val="253"/>
        <w:keepNext w:val="0"/>
        <w:keepLines w:val="0"/>
        <w:pageBreakBefore w:val="0"/>
        <w:widowControl w:val="0"/>
        <w:numPr>
          <w:ilvl w:val="0"/>
          <w:numId w:val="0"/>
        </w:numPr>
        <w:spacing w:before="0" w:after="0" w:line="360" w:lineRule="auto"/>
        <w:ind w:right="0" w:firstLine="420"/>
        <w:jc w:val="both"/>
        <w:rPr>
          <w:rFonts w:hint="default" w:ascii="Times New Roman" w:hAnsi="Times New Roman" w:eastAsia="宋体" w:cs="Times New Roman"/>
          <w:sz w:val="21"/>
          <w:szCs w:val="21"/>
          <w:highlight w:val="none"/>
          <w:lang w:val="en-US" w:eastAsia="zh-CN"/>
        </w:rPr>
      </w:pPr>
      <w:r>
        <w:rPr>
          <w:rFonts w:hint="eastAsia" w:ascii="Times New Roman" w:hAnsi="Times New Roman" w:cs="Times New Roman"/>
          <w:b w:val="0"/>
          <w:bCs w:val="0"/>
          <w:sz w:val="21"/>
          <w:szCs w:val="21"/>
          <w:highlight w:val="none"/>
          <w:lang w:val="en-US" w:eastAsia="zh-CN"/>
        </w:rPr>
        <w:t>6.3</w:t>
      </w:r>
      <w:r>
        <w:rPr>
          <w:rFonts w:hint="eastAsia" w:ascii="Times New Roman" w:hAnsi="Times New Roman" w:eastAsia="宋体" w:cs="Times New Roman"/>
          <w:sz w:val="21"/>
          <w:szCs w:val="21"/>
          <w:highlight w:val="none"/>
          <w:lang w:val="en-US" w:eastAsia="zh-CN"/>
        </w:rPr>
        <w:t>上述项目要求的快速检测批次、检测地点、检测工作方式、检测人员数量、检测人员层次、检测项目等具体量化指标，如供应商在项目履行过程中无胜任能力、降低或减少招标所要求的量化指标，导致无法满足项目需求正常开展的，采购人有权要求供应商限期整改；供应商逾期未整改或整改后仍不符合要求的，采购人有权解除合同，追回已支付但对应服务未实际合格完成的款项，并要求供应商承担相当于对应违约部分合同价款30%的违约金；违约金不足以弥补采购人损失的，供应商还应继续赔偿。采购人并有权依法向有关主管部门报告</w:t>
      </w:r>
      <w:r>
        <w:rPr>
          <w:rFonts w:hint="eastAsia" w:ascii="Times New Roman" w:hAnsi="Times New Roman" w:cs="Times New Roman"/>
          <w:sz w:val="21"/>
          <w:szCs w:val="21"/>
          <w:highlight w:val="none"/>
          <w:lang w:val="en-US" w:eastAsia="zh-CN"/>
        </w:rPr>
        <w:t>。</w:t>
      </w:r>
    </w:p>
    <w:p w14:paraId="59DA0DC2">
      <w:pPr>
        <w:pStyle w:val="253"/>
        <w:keepNext w:val="0"/>
        <w:keepLines w:val="0"/>
        <w:pageBreakBefore w:val="0"/>
        <w:widowControl w:val="0"/>
        <w:numPr>
          <w:ilvl w:val="0"/>
          <w:numId w:val="0"/>
        </w:numPr>
        <w:spacing w:before="0" w:after="0" w:line="360" w:lineRule="auto"/>
        <w:ind w:right="0" w:firstLine="420"/>
        <w:jc w:val="both"/>
        <w:rPr>
          <w:rFonts w:hint="default" w:ascii="Times New Roman" w:hAnsi="Times New Roman" w:cs="Times New Roman"/>
          <w:sz w:val="21"/>
          <w:szCs w:val="21"/>
          <w:highlight w:val="none"/>
          <w:lang w:val="en-US" w:eastAsia="zh-CN"/>
        </w:rPr>
      </w:pPr>
      <w:r>
        <w:rPr>
          <w:rFonts w:hint="eastAsia" w:ascii="Times New Roman" w:hAnsi="Times New Roman" w:cs="Times New Roman"/>
          <w:b w:val="0"/>
          <w:bCs w:val="0"/>
          <w:sz w:val="21"/>
          <w:szCs w:val="21"/>
          <w:highlight w:val="none"/>
          <w:lang w:val="en-US" w:eastAsia="zh-CN"/>
        </w:rPr>
        <w:t>6.4</w:t>
      </w:r>
      <w:r>
        <w:rPr>
          <w:rFonts w:hint="default" w:ascii="Times New Roman" w:hAnsi="Times New Roman" w:cs="Times New Roman"/>
          <w:sz w:val="21"/>
          <w:szCs w:val="21"/>
          <w:highlight w:val="none"/>
          <w:lang w:val="en-US" w:eastAsia="zh-CN"/>
        </w:rPr>
        <w:t>每季度对快检室运维单位开展考核，考核办法由采购人制定实施，考核结果与其运维费用支付挂钩。</w:t>
      </w:r>
    </w:p>
    <w:p w14:paraId="7544E64D">
      <w:pPr>
        <w:shd w:val="clear" w:color="auto" w:fill="auto"/>
        <w:spacing w:line="360" w:lineRule="auto"/>
        <w:ind w:firstLine="422" w:firstLineChars="200"/>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七</w:t>
      </w:r>
      <w:r>
        <w:rPr>
          <w:rFonts w:hint="eastAsia" w:ascii="宋体" w:hAnsi="宋体" w:eastAsia="宋体"/>
          <w:b/>
          <w:bCs/>
          <w:color w:val="auto"/>
          <w:sz w:val="21"/>
          <w:szCs w:val="21"/>
          <w:highlight w:val="none"/>
        </w:rPr>
        <w:t>、投标报价要求</w:t>
      </w:r>
    </w:p>
    <w:p w14:paraId="1E8257B8">
      <w:pPr>
        <w:pStyle w:val="253"/>
        <w:numPr>
          <w:ilvl w:val="0"/>
          <w:numId w:val="0"/>
        </w:numPr>
        <w:shd w:val="clear" w:color="auto" w:fill="auto"/>
        <w:ind w:firstLine="420" w:firstLineChars="200"/>
        <w:rPr>
          <w:rFonts w:hint="default" w:ascii="Times New Roman" w:hAnsi="Times New Roman" w:eastAsia="宋体" w:cs="Times New Roman"/>
          <w:b w:val="0"/>
          <w:bCs w:val="0"/>
          <w:color w:val="auto"/>
          <w:sz w:val="21"/>
          <w:szCs w:val="21"/>
          <w:highlight w:val="none"/>
        </w:rPr>
      </w:pPr>
      <w:r>
        <w:rPr>
          <w:rFonts w:hint="eastAsia" w:ascii="Times New Roman" w:hAnsi="Times New Roman" w:cs="Times New Roman"/>
          <w:b w:val="0"/>
          <w:bCs w:val="0"/>
          <w:color w:val="auto"/>
          <w:sz w:val="21"/>
          <w:szCs w:val="21"/>
          <w:highlight w:val="none"/>
          <w:lang w:val="en-US" w:eastAsia="zh-CN"/>
        </w:rPr>
        <w:t>7.1</w:t>
      </w:r>
      <w:r>
        <w:rPr>
          <w:rFonts w:hint="default" w:ascii="Times New Roman" w:hAnsi="Times New Roman" w:eastAsia="宋体" w:cs="Times New Roman"/>
          <w:b/>
          <w:bCs/>
          <w:color w:val="auto"/>
          <w:sz w:val="21"/>
          <w:szCs w:val="21"/>
          <w:highlight w:val="none"/>
        </w:rPr>
        <w:t>投标报价以服务清单给出的单价指导价为基准价进行报价，报价（单价、</w:t>
      </w:r>
      <w:r>
        <w:rPr>
          <w:rFonts w:hint="default" w:ascii="Times New Roman" w:hAnsi="Times New Roman" w:cs="Times New Roman"/>
          <w:b/>
          <w:bCs/>
          <w:color w:val="auto"/>
          <w:sz w:val="21"/>
          <w:szCs w:val="21"/>
          <w:highlight w:val="none"/>
          <w:lang w:val="en-US" w:eastAsia="zh-CN"/>
        </w:rPr>
        <w:t>总</w:t>
      </w:r>
      <w:r>
        <w:rPr>
          <w:rFonts w:hint="default" w:ascii="Times New Roman" w:hAnsi="Times New Roman" w:eastAsia="宋体" w:cs="Times New Roman"/>
          <w:b/>
          <w:bCs/>
          <w:color w:val="auto"/>
          <w:sz w:val="21"/>
          <w:szCs w:val="21"/>
          <w:highlight w:val="none"/>
        </w:rPr>
        <w:t>价）不得超过其最高限价。</w:t>
      </w:r>
    </w:p>
    <w:p w14:paraId="2E496F1A">
      <w:pPr>
        <w:pStyle w:val="253"/>
        <w:numPr>
          <w:ilvl w:val="0"/>
          <w:numId w:val="0"/>
        </w:numPr>
        <w:shd w:val="clear" w:color="auto" w:fill="auto"/>
        <w:ind w:firstLine="420" w:firstLineChars="200"/>
        <w:rPr>
          <w:rFonts w:hint="default" w:ascii="Times New Roman" w:hAnsi="Times New Roman" w:eastAsia="宋体" w:cs="Times New Roman"/>
          <w:b w:val="0"/>
          <w:bCs w:val="0"/>
          <w:color w:val="auto"/>
          <w:sz w:val="21"/>
          <w:szCs w:val="21"/>
          <w:highlight w:val="none"/>
        </w:rPr>
      </w:pPr>
      <w:r>
        <w:rPr>
          <w:rFonts w:hint="eastAsia" w:ascii="Times New Roman" w:hAnsi="Times New Roman" w:cs="Times New Roman"/>
          <w:b w:val="0"/>
          <w:bCs w:val="0"/>
          <w:sz w:val="21"/>
          <w:szCs w:val="21"/>
          <w:highlight w:val="none"/>
          <w:lang w:val="en-US" w:eastAsia="zh-CN"/>
        </w:rPr>
        <w:t>7.2</w:t>
      </w:r>
      <w:r>
        <w:rPr>
          <w:rFonts w:hint="default" w:ascii="Times New Roman" w:hAnsi="Times New Roman" w:eastAsia="宋体" w:cs="Times New Roman"/>
          <w:b w:val="0"/>
          <w:bCs w:val="0"/>
          <w:color w:val="auto"/>
          <w:sz w:val="21"/>
          <w:szCs w:val="21"/>
          <w:highlight w:val="none"/>
        </w:rPr>
        <w:t>报价包含本项目所需的服务提供过程中可能发生的所有费用，包括但不限于样品购置</w:t>
      </w:r>
      <w:r>
        <w:rPr>
          <w:rFonts w:hint="default" w:ascii="Times New Roman" w:hAnsi="Times New Roman" w:cs="Times New Roman"/>
          <w:b w:val="0"/>
          <w:bCs w:val="0"/>
          <w:color w:val="auto"/>
          <w:sz w:val="21"/>
          <w:szCs w:val="21"/>
          <w:highlight w:val="none"/>
          <w:lang w:val="en-US" w:eastAsia="zh-CN"/>
        </w:rPr>
        <w:t>费、</w:t>
      </w:r>
      <w:r>
        <w:rPr>
          <w:rFonts w:hint="default" w:ascii="Times New Roman" w:hAnsi="Times New Roman" w:eastAsia="宋体" w:cs="Times New Roman"/>
          <w:b w:val="0"/>
          <w:bCs w:val="0"/>
          <w:color w:val="auto"/>
          <w:sz w:val="21"/>
          <w:szCs w:val="21"/>
          <w:highlight w:val="none"/>
        </w:rPr>
        <w:t>检测费、实验室及检测设备使用费用、耗材、各种税费、利润、税金、人员工资（含各类保险、</w:t>
      </w:r>
      <w:r>
        <w:rPr>
          <w:rFonts w:hint="default" w:ascii="Times New Roman" w:hAnsi="Times New Roman" w:cs="Times New Roman"/>
          <w:b w:val="0"/>
          <w:bCs w:val="0"/>
          <w:color w:val="auto"/>
          <w:sz w:val="21"/>
          <w:szCs w:val="21"/>
          <w:highlight w:val="none"/>
          <w:lang w:val="en-US" w:eastAsia="zh-CN"/>
        </w:rPr>
        <w:t>加班费</w:t>
      </w:r>
      <w:r>
        <w:rPr>
          <w:rFonts w:hint="default" w:ascii="Times New Roman" w:hAnsi="Times New Roman" w:eastAsia="宋体" w:cs="Times New Roman"/>
          <w:b w:val="0"/>
          <w:bCs w:val="0"/>
          <w:color w:val="auto"/>
          <w:sz w:val="21"/>
          <w:szCs w:val="21"/>
          <w:highlight w:val="none"/>
        </w:rPr>
        <w:t>、交通费、过节费等所有与人员相关费用）、培训及合同包含的所有风险、责任以及</w:t>
      </w:r>
      <w:r>
        <w:rPr>
          <w:rFonts w:hint="default" w:ascii="Times New Roman" w:hAnsi="Times New Roman" w:cs="Times New Roman"/>
          <w:b w:val="0"/>
          <w:bCs w:val="0"/>
          <w:color w:val="auto"/>
          <w:sz w:val="21"/>
          <w:szCs w:val="21"/>
          <w:highlight w:val="none"/>
          <w:lang w:val="en-US" w:eastAsia="zh-CN"/>
        </w:rPr>
        <w:t>采购</w:t>
      </w:r>
      <w:r>
        <w:rPr>
          <w:rFonts w:hint="default" w:ascii="Times New Roman" w:hAnsi="Times New Roman" w:eastAsia="宋体" w:cs="Times New Roman"/>
          <w:b w:val="0"/>
          <w:bCs w:val="0"/>
          <w:color w:val="auto"/>
          <w:sz w:val="21"/>
          <w:szCs w:val="21"/>
          <w:highlight w:val="none"/>
        </w:rPr>
        <w:t>人项目预算已包含的项目论证、评审等各项相关费用。报价还包含采购代理服务费用。除另有约定外，中标后采购方仅按中标价格结算支付采购资金，不再另行支付任何费用。</w:t>
      </w:r>
    </w:p>
    <w:p w14:paraId="535B2CEA">
      <w:pPr>
        <w:pStyle w:val="253"/>
        <w:numPr>
          <w:ilvl w:val="0"/>
          <w:numId w:val="0"/>
        </w:numPr>
        <w:shd w:val="clear" w:color="auto" w:fill="auto"/>
        <w:ind w:firstLine="420" w:firstLineChars="200"/>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cs="Times New Roman"/>
          <w:b w:val="0"/>
          <w:bCs w:val="0"/>
          <w:sz w:val="21"/>
          <w:szCs w:val="21"/>
          <w:highlight w:val="none"/>
          <w:lang w:val="en-US" w:eastAsia="zh-CN"/>
        </w:rPr>
        <w:t>7.3</w:t>
      </w:r>
      <w:r>
        <w:rPr>
          <w:rFonts w:hint="default" w:ascii="Times New Roman" w:hAnsi="Times New Roman" w:eastAsia="宋体" w:cs="Times New Roman"/>
          <w:b w:val="0"/>
          <w:bCs w:val="0"/>
          <w:color w:val="auto"/>
          <w:sz w:val="21"/>
          <w:szCs w:val="21"/>
          <w:highlight w:val="none"/>
        </w:rPr>
        <w:t>供应商投标前应进行充分考虑各种风险，</w:t>
      </w:r>
      <w:r>
        <w:rPr>
          <w:rFonts w:hint="default" w:ascii="Times New Roman" w:hAnsi="Times New Roman" w:cs="Times New Roman"/>
          <w:b w:val="0"/>
          <w:bCs w:val="0"/>
          <w:color w:val="auto"/>
          <w:sz w:val="21"/>
          <w:szCs w:val="21"/>
          <w:highlight w:val="none"/>
          <w:lang w:val="en-US" w:eastAsia="zh-CN"/>
        </w:rPr>
        <w:t>中</w:t>
      </w:r>
      <w:r>
        <w:rPr>
          <w:rFonts w:hint="default" w:ascii="Times New Roman" w:hAnsi="Times New Roman" w:eastAsia="宋体" w:cs="Times New Roman"/>
          <w:b w:val="0"/>
          <w:bCs w:val="0"/>
          <w:color w:val="auto"/>
          <w:sz w:val="21"/>
          <w:szCs w:val="21"/>
          <w:highlight w:val="none"/>
        </w:rPr>
        <w:t>标后在合同履约期内，不得以任何理由要求对其投标报价、费用名目、人员数量、人员质量、服务内容、服务条件、服务质量等进行降低要求、变更要求或拒绝服务。</w:t>
      </w:r>
    </w:p>
    <w:p w14:paraId="78CC30E8">
      <w:pPr>
        <w:pStyle w:val="253"/>
        <w:keepNext w:val="0"/>
        <w:keepLines w:val="0"/>
        <w:pageBreakBefore w:val="0"/>
        <w:widowControl w:val="0"/>
        <w:spacing w:before="0" w:after="0" w:line="560" w:lineRule="exact"/>
        <w:ind w:firstLine="422"/>
        <w:rPr>
          <w:rFonts w:hint="eastAsia" w:ascii="宋体" w:hAnsi="宋体" w:eastAsia="宋体" w:cs="宋体"/>
          <w:bCs w:val="0"/>
          <w:sz w:val="21"/>
          <w:szCs w:val="21"/>
          <w:highlight w:val="none"/>
        </w:rPr>
      </w:pPr>
      <w:r>
        <w:rPr>
          <w:rFonts w:hint="eastAsia" w:cs="宋体"/>
          <w:sz w:val="21"/>
          <w:szCs w:val="21"/>
          <w:highlight w:val="none"/>
          <w:lang w:val="en-US" w:eastAsia="zh-CN"/>
        </w:rPr>
        <w:t>八</w:t>
      </w:r>
      <w:r>
        <w:rPr>
          <w:rFonts w:hint="eastAsia" w:ascii="宋体" w:hAnsi="宋体" w:eastAsia="宋体" w:cs="宋体"/>
          <w:sz w:val="21"/>
          <w:szCs w:val="21"/>
          <w:highlight w:val="none"/>
        </w:rPr>
        <w:t>、</w:t>
      </w:r>
      <w:r>
        <w:rPr>
          <w:rFonts w:hint="eastAsia" w:ascii="宋体" w:hAnsi="宋体" w:eastAsia="宋体" w:cs="宋体"/>
          <w:bCs w:val="0"/>
          <w:sz w:val="21"/>
          <w:szCs w:val="21"/>
          <w:highlight w:val="none"/>
        </w:rPr>
        <w:t>供应商考核管理</w:t>
      </w:r>
    </w:p>
    <w:p w14:paraId="4D73E234">
      <w:pPr>
        <w:pStyle w:val="253"/>
        <w:keepNext w:val="0"/>
        <w:keepLines w:val="0"/>
        <w:pageBreakBefore w:val="0"/>
        <w:widowControl w:val="0"/>
        <w:numPr>
          <w:ilvl w:val="0"/>
          <w:numId w:val="0"/>
        </w:numPr>
        <w:spacing w:before="0" w:after="0" w:line="560" w:lineRule="exact"/>
        <w:ind w:firstLine="420" w:firstLineChars="200"/>
        <w:jc w:val="both"/>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8.1考核办法</w:t>
      </w:r>
    </w:p>
    <w:p w14:paraId="2985D8AE">
      <w:pPr>
        <w:pStyle w:val="253"/>
        <w:keepNext w:val="0"/>
        <w:keepLines w:val="0"/>
        <w:pageBreakBefore w:val="0"/>
        <w:widowControl w:val="0"/>
        <w:numPr>
          <w:ilvl w:val="0"/>
          <w:numId w:val="0"/>
        </w:numPr>
        <w:spacing w:before="0" w:after="0" w:line="360" w:lineRule="auto"/>
        <w:ind w:right="0" w:firstLine="420"/>
        <w:jc w:val="both"/>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采购人</w:t>
      </w:r>
      <w:r>
        <w:rPr>
          <w:rFonts w:hint="eastAsia" w:ascii="Times New Roman" w:hAnsi="Times New Roman" w:cs="Times New Roman"/>
          <w:sz w:val="21"/>
          <w:szCs w:val="21"/>
          <w:highlight w:val="none"/>
          <w:lang w:val="en-US" w:eastAsia="zh-CN"/>
        </w:rPr>
        <w:t>按照</w:t>
      </w:r>
      <w:r>
        <w:rPr>
          <w:rFonts w:hint="eastAsia" w:ascii="Times New Roman" w:hAnsi="Times New Roman" w:eastAsia="宋体" w:cs="Times New Roman"/>
          <w:sz w:val="21"/>
          <w:szCs w:val="21"/>
          <w:highlight w:val="none"/>
          <w:lang w:val="en-US" w:eastAsia="zh-CN"/>
        </w:rPr>
        <w:t>《</w:t>
      </w:r>
      <w:r>
        <w:rPr>
          <w:rFonts w:hint="eastAsia" w:ascii="Times New Roman" w:hAnsi="Times New Roman" w:cs="Times New Roman"/>
          <w:sz w:val="21"/>
          <w:szCs w:val="21"/>
          <w:highlight w:val="none"/>
          <w:lang w:val="en-US" w:eastAsia="zh-CN"/>
        </w:rPr>
        <w:t>江北新</w:t>
      </w:r>
      <w:r>
        <w:rPr>
          <w:rFonts w:hint="eastAsia" w:ascii="Times New Roman" w:hAnsi="Times New Roman" w:eastAsia="宋体" w:cs="Times New Roman"/>
          <w:sz w:val="21"/>
          <w:szCs w:val="21"/>
          <w:highlight w:val="none"/>
          <w:lang w:val="en-US" w:eastAsia="zh-CN"/>
        </w:rPr>
        <w:t>区食品安全快速检测运行维护</w:t>
      </w:r>
      <w:r>
        <w:rPr>
          <w:rFonts w:hint="eastAsia" w:ascii="Times New Roman" w:hAnsi="Times New Roman" w:cs="Times New Roman"/>
          <w:sz w:val="21"/>
          <w:szCs w:val="21"/>
          <w:highlight w:val="none"/>
          <w:lang w:val="en-US" w:eastAsia="zh-CN"/>
        </w:rPr>
        <w:t>考核方案</w:t>
      </w:r>
      <w:r>
        <w:rPr>
          <w:rFonts w:hint="eastAsia" w:ascii="Times New Roman" w:hAnsi="Times New Roman" w:eastAsia="宋体" w:cs="Times New Roman"/>
          <w:sz w:val="21"/>
          <w:szCs w:val="21"/>
          <w:highlight w:val="none"/>
          <w:lang w:val="en-US" w:eastAsia="zh-CN"/>
        </w:rPr>
        <w:t>》对供应商方进行考核；如采购人后续依法对考评细则进行修订并书面通知供应商的，供应商应按修订后的考评细则执行。</w:t>
      </w:r>
    </w:p>
    <w:p w14:paraId="2D793EAF">
      <w:pPr>
        <w:pStyle w:val="253"/>
        <w:keepNext w:val="0"/>
        <w:keepLines w:val="0"/>
        <w:pageBreakBefore w:val="0"/>
        <w:widowControl w:val="0"/>
        <w:numPr>
          <w:ilvl w:val="0"/>
          <w:numId w:val="0"/>
        </w:numPr>
        <w:spacing w:before="0" w:after="0" w:line="560" w:lineRule="exact"/>
        <w:ind w:firstLine="420" w:firstLineChars="200"/>
        <w:jc w:val="both"/>
        <w:rPr>
          <w:rFonts w:hint="eastAsia" w:ascii="宋体" w:hAnsi="宋体" w:eastAsia="宋体" w:cs="宋体"/>
          <w:b w:val="0"/>
          <w:bCs w:val="0"/>
          <w:sz w:val="21"/>
          <w:szCs w:val="21"/>
          <w:highlight w:val="none"/>
          <w:lang w:eastAsia="zh-CN"/>
        </w:rPr>
      </w:pPr>
      <w:r>
        <w:rPr>
          <w:rFonts w:hint="eastAsia" w:cs="宋体"/>
          <w:b w:val="0"/>
          <w:bCs w:val="0"/>
          <w:sz w:val="21"/>
          <w:szCs w:val="21"/>
          <w:highlight w:val="none"/>
          <w:lang w:val="en-US" w:eastAsia="zh-CN"/>
        </w:rPr>
        <w:t>8.2</w:t>
      </w:r>
      <w:r>
        <w:rPr>
          <w:rFonts w:hint="eastAsia" w:ascii="宋体" w:hAnsi="宋体" w:eastAsia="宋体" w:cs="宋体"/>
          <w:b w:val="0"/>
          <w:bCs w:val="0"/>
          <w:sz w:val="21"/>
          <w:szCs w:val="21"/>
          <w:highlight w:val="none"/>
          <w:lang w:eastAsia="zh-CN"/>
        </w:rPr>
        <w:t>考核方式</w:t>
      </w:r>
    </w:p>
    <w:p w14:paraId="7CC32AFE">
      <w:pPr>
        <w:pStyle w:val="253"/>
        <w:keepNext w:val="0"/>
        <w:keepLines w:val="0"/>
        <w:pageBreakBefore w:val="0"/>
        <w:widowControl w:val="0"/>
        <w:numPr>
          <w:ilvl w:val="0"/>
          <w:numId w:val="0"/>
        </w:numPr>
        <w:spacing w:before="0" w:after="0" w:line="360" w:lineRule="auto"/>
        <w:ind w:firstLine="420"/>
        <w:jc w:val="both"/>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依据《</w:t>
      </w:r>
      <w:r>
        <w:rPr>
          <w:rFonts w:hint="eastAsia" w:cs="宋体"/>
          <w:b w:val="0"/>
          <w:bCs w:val="0"/>
          <w:sz w:val="21"/>
          <w:szCs w:val="21"/>
          <w:highlight w:val="none"/>
          <w:lang w:eastAsia="zh-CN"/>
        </w:rPr>
        <w:t>江北新</w:t>
      </w:r>
      <w:r>
        <w:rPr>
          <w:rFonts w:hint="eastAsia" w:ascii="宋体" w:hAnsi="宋体" w:eastAsia="宋体" w:cs="宋体"/>
          <w:b w:val="0"/>
          <w:bCs w:val="0"/>
          <w:sz w:val="21"/>
          <w:szCs w:val="21"/>
          <w:highlight w:val="none"/>
          <w:lang w:eastAsia="zh-CN"/>
        </w:rPr>
        <w:t>区食品安全快速检测运行维护</w:t>
      </w:r>
      <w:r>
        <w:rPr>
          <w:rFonts w:hint="eastAsia" w:cs="宋体"/>
          <w:b w:val="0"/>
          <w:bCs w:val="0"/>
          <w:sz w:val="21"/>
          <w:szCs w:val="21"/>
          <w:highlight w:val="none"/>
          <w:lang w:eastAsia="zh-CN"/>
        </w:rPr>
        <w:t>考核方案</w:t>
      </w:r>
      <w:r>
        <w:rPr>
          <w:rFonts w:hint="eastAsia" w:ascii="宋体" w:hAnsi="宋体" w:eastAsia="宋体" w:cs="宋体"/>
          <w:b w:val="0"/>
          <w:bCs w:val="0"/>
          <w:sz w:val="21"/>
          <w:szCs w:val="21"/>
          <w:highlight w:val="none"/>
          <w:lang w:eastAsia="zh-CN"/>
        </w:rPr>
        <w:t>》，按照程序规范、公平公正的原则开展考核，每季度进行一次全覆盖考评打分，采取例行考评和飞行考评相结合的方式，按序时进度组织开展，每月至少覆盖底数的40%。结合日常监管情况，对各</w:t>
      </w:r>
      <w:r>
        <w:rPr>
          <w:rFonts w:hint="eastAsia" w:cs="宋体"/>
          <w:b w:val="0"/>
          <w:bCs w:val="0"/>
          <w:sz w:val="21"/>
          <w:szCs w:val="21"/>
          <w:highlight w:val="none"/>
          <w:lang w:eastAsia="zh-CN"/>
        </w:rPr>
        <w:t>中标供应商</w:t>
      </w:r>
      <w:r>
        <w:rPr>
          <w:rFonts w:hint="eastAsia" w:ascii="宋体" w:hAnsi="宋体" w:eastAsia="宋体" w:cs="宋体"/>
          <w:b w:val="0"/>
          <w:bCs w:val="0"/>
          <w:sz w:val="21"/>
          <w:szCs w:val="21"/>
          <w:highlight w:val="none"/>
          <w:lang w:eastAsia="zh-CN"/>
        </w:rPr>
        <w:t>的检测服务、综合</w:t>
      </w:r>
      <w:r>
        <w:rPr>
          <w:rFonts w:hint="eastAsia" w:cs="宋体"/>
          <w:b w:val="0"/>
          <w:bCs w:val="0"/>
          <w:sz w:val="21"/>
          <w:szCs w:val="21"/>
          <w:highlight w:val="none"/>
          <w:lang w:eastAsia="zh-CN"/>
        </w:rPr>
        <w:t>管理</w:t>
      </w:r>
      <w:r>
        <w:rPr>
          <w:rFonts w:hint="eastAsia" w:ascii="宋体" w:hAnsi="宋体" w:eastAsia="宋体" w:cs="宋体"/>
          <w:b w:val="0"/>
          <w:bCs w:val="0"/>
          <w:sz w:val="21"/>
          <w:szCs w:val="21"/>
          <w:highlight w:val="none"/>
          <w:lang w:eastAsia="zh-CN"/>
        </w:rPr>
        <w:t>服务</w:t>
      </w:r>
      <w:r>
        <w:rPr>
          <w:rFonts w:hint="eastAsia" w:cs="宋体"/>
          <w:b w:val="0"/>
          <w:bCs w:val="0"/>
          <w:sz w:val="21"/>
          <w:szCs w:val="21"/>
          <w:highlight w:val="none"/>
          <w:lang w:eastAsia="zh-CN"/>
        </w:rPr>
        <w:t>、</w:t>
      </w:r>
      <w:r>
        <w:rPr>
          <w:rFonts w:hint="eastAsia" w:cs="宋体"/>
          <w:b w:val="0"/>
          <w:bCs w:val="0"/>
          <w:sz w:val="21"/>
          <w:szCs w:val="21"/>
          <w:highlight w:val="none"/>
          <w:lang w:val="en-US" w:eastAsia="zh-CN"/>
        </w:rPr>
        <w:t>增值服务</w:t>
      </w:r>
      <w:r>
        <w:rPr>
          <w:rFonts w:hint="eastAsia" w:ascii="宋体" w:hAnsi="宋体" w:eastAsia="宋体" w:cs="宋体"/>
          <w:b w:val="0"/>
          <w:bCs w:val="0"/>
          <w:sz w:val="21"/>
          <w:szCs w:val="21"/>
          <w:highlight w:val="none"/>
          <w:lang w:eastAsia="zh-CN"/>
        </w:rPr>
        <w:t>及检测人员等进行考核评价。</w:t>
      </w:r>
    </w:p>
    <w:p w14:paraId="5C76F609">
      <w:pPr>
        <w:pStyle w:val="253"/>
        <w:keepNext w:val="0"/>
        <w:keepLines w:val="0"/>
        <w:pageBreakBefore w:val="0"/>
        <w:widowControl w:val="0"/>
        <w:numPr>
          <w:ilvl w:val="0"/>
          <w:numId w:val="0"/>
        </w:numPr>
        <w:spacing w:before="0" w:after="0" w:line="560" w:lineRule="exact"/>
        <w:ind w:firstLine="420" w:firstLineChars="200"/>
        <w:jc w:val="both"/>
        <w:rPr>
          <w:rFonts w:hint="eastAsia" w:ascii="宋体" w:hAnsi="宋体" w:eastAsia="宋体" w:cs="宋体"/>
          <w:b w:val="0"/>
          <w:bCs w:val="0"/>
          <w:sz w:val="21"/>
          <w:szCs w:val="21"/>
          <w:highlight w:val="none"/>
          <w:lang w:eastAsia="zh-CN"/>
        </w:rPr>
      </w:pPr>
      <w:r>
        <w:rPr>
          <w:rFonts w:hint="eastAsia" w:cs="宋体"/>
          <w:b w:val="0"/>
          <w:bCs w:val="0"/>
          <w:sz w:val="21"/>
          <w:szCs w:val="21"/>
          <w:highlight w:val="none"/>
          <w:lang w:val="en-US" w:eastAsia="zh-CN"/>
        </w:rPr>
        <w:t>8.3</w:t>
      </w:r>
      <w:r>
        <w:rPr>
          <w:rFonts w:hint="eastAsia" w:ascii="宋体" w:hAnsi="宋体" w:eastAsia="宋体" w:cs="宋体"/>
          <w:b w:val="0"/>
          <w:bCs w:val="0"/>
          <w:sz w:val="21"/>
          <w:szCs w:val="21"/>
          <w:highlight w:val="none"/>
          <w:lang w:eastAsia="zh-CN"/>
        </w:rPr>
        <w:t>结果应用</w:t>
      </w:r>
    </w:p>
    <w:p w14:paraId="6DA5AF4C">
      <w:pPr>
        <w:pStyle w:val="18"/>
        <w:keepNext w:val="0"/>
        <w:keepLines w:val="0"/>
        <w:pageBreakBefore w:val="0"/>
        <w:widowControl w:val="0"/>
        <w:spacing w:line="360" w:lineRule="auto"/>
        <w:ind w:right="112" w:firstLine="420"/>
        <w:jc w:val="both"/>
        <w:rPr>
          <w:rFonts w:hint="default" w:ascii="Times New Roman" w:hAnsi="Times New Roman" w:eastAsia="宋体" w:cs="Times New Roman"/>
          <w:b w:val="0"/>
          <w:bCs w:val="0"/>
          <w:sz w:val="21"/>
          <w:szCs w:val="21"/>
          <w:highlight w:val="none"/>
          <w:lang w:val="en-US" w:eastAsia="zh-CN" w:bidi="ar-SA"/>
        </w:rPr>
      </w:pPr>
      <w:r>
        <w:rPr>
          <w:rFonts w:hint="eastAsia" w:eastAsia="宋体" w:cs="Times New Roman"/>
          <w:b w:val="0"/>
          <w:bCs w:val="0"/>
          <w:sz w:val="21"/>
          <w:szCs w:val="21"/>
          <w:highlight w:val="none"/>
          <w:lang w:val="en-US" w:eastAsia="zh-CN" w:bidi="ar-SA"/>
        </w:rPr>
        <w:t>8.3.1</w:t>
      </w:r>
      <w:r>
        <w:rPr>
          <w:rFonts w:hint="default" w:ascii="Times New Roman" w:hAnsi="Times New Roman" w:eastAsia="宋体" w:cs="Times New Roman"/>
          <w:b w:val="0"/>
          <w:bCs w:val="0"/>
          <w:sz w:val="21"/>
          <w:szCs w:val="21"/>
          <w:highlight w:val="none"/>
          <w:lang w:val="en-US" w:eastAsia="zh-CN" w:bidi="ar-SA"/>
        </w:rPr>
        <w:t>快检室季度考核成绩。</w:t>
      </w:r>
      <w:r>
        <w:rPr>
          <w:rFonts w:hint="default" w:eastAsia="宋体" w:cs="Times New Roman"/>
          <w:b w:val="0"/>
          <w:bCs w:val="0"/>
          <w:sz w:val="21"/>
          <w:szCs w:val="21"/>
          <w:highlight w:val="none"/>
          <w:lang w:val="en-US" w:eastAsia="zh-CN" w:bidi="ar-SA"/>
        </w:rPr>
        <w:t>中标</w:t>
      </w:r>
      <w:r>
        <w:rPr>
          <w:rFonts w:hint="default" w:ascii="Times New Roman" w:hAnsi="Times New Roman" w:eastAsia="宋体" w:cs="Times New Roman"/>
          <w:b w:val="0"/>
          <w:bCs w:val="0"/>
          <w:sz w:val="21"/>
          <w:szCs w:val="21"/>
          <w:highlight w:val="none"/>
          <w:lang w:val="en-US" w:eastAsia="zh-CN" w:bidi="ar-SA"/>
        </w:rPr>
        <w:t>供应商的季度考核分值与季度费用支付挂钩，当前考核成绩低于95分但不低于90分的，实际支付费用按95%折扣支付；当前考核成绩低于90 分但不低于85分的，实际支付费用按90%折扣支付：当前考核成绩低于85分但不低于80分的，实际支付费用按85%折扣支付</w:t>
      </w:r>
      <w:r>
        <w:rPr>
          <w:rFonts w:hint="default" w:eastAsia="宋体" w:cs="Times New Roman"/>
          <w:b w:val="0"/>
          <w:bCs w:val="0"/>
          <w:sz w:val="21"/>
          <w:szCs w:val="21"/>
          <w:highlight w:val="none"/>
          <w:lang w:val="en-US" w:eastAsia="zh-CN" w:bidi="ar-SA"/>
        </w:rPr>
        <w:t>；</w:t>
      </w:r>
      <w:r>
        <w:rPr>
          <w:rFonts w:hint="default" w:ascii="Times New Roman" w:hAnsi="Times New Roman" w:eastAsia="宋体" w:cs="Times New Roman"/>
          <w:b w:val="0"/>
          <w:bCs w:val="0"/>
          <w:sz w:val="21"/>
          <w:szCs w:val="21"/>
          <w:highlight w:val="none"/>
          <w:lang w:val="en-US" w:eastAsia="zh-CN" w:bidi="ar-SA"/>
        </w:rPr>
        <w:t>考核成绩低于80分的，实际支付费用按80%折扣支付。</w:t>
      </w:r>
    </w:p>
    <w:p w14:paraId="23A83191">
      <w:pPr>
        <w:pStyle w:val="18"/>
        <w:keepNext w:val="0"/>
        <w:keepLines w:val="0"/>
        <w:pageBreakBefore w:val="0"/>
        <w:widowControl w:val="0"/>
        <w:spacing w:line="360" w:lineRule="auto"/>
        <w:ind w:right="112" w:firstLine="420"/>
        <w:jc w:val="both"/>
        <w:rPr>
          <w:rFonts w:hint="eastAsia" w:ascii="Times New Roman" w:hAnsi="Times New Roman" w:eastAsia="宋体" w:cs="Times New Roman"/>
          <w:b w:val="0"/>
          <w:bCs w:val="0"/>
          <w:sz w:val="21"/>
          <w:szCs w:val="21"/>
          <w:highlight w:val="none"/>
          <w:lang w:val="en-US" w:eastAsia="zh-CN" w:bidi="ar-SA"/>
        </w:rPr>
      </w:pPr>
      <w:r>
        <w:rPr>
          <w:rFonts w:hint="eastAsia" w:ascii="Times New Roman" w:hAnsi="Times New Roman" w:eastAsia="宋体" w:cs="Times New Roman"/>
          <w:b w:val="0"/>
          <w:bCs w:val="0"/>
          <w:sz w:val="21"/>
          <w:szCs w:val="21"/>
          <w:highlight w:val="none"/>
          <w:lang w:val="en-US" w:eastAsia="zh-CN" w:bidi="ar-SA"/>
        </w:rPr>
        <w:t xml:space="preserve">1）考核成绩≥95分，实际支付费用 = </w:t>
      </w:r>
      <w:r>
        <w:rPr>
          <w:rFonts w:hint="eastAsia" w:eastAsia="宋体" w:cs="Times New Roman"/>
          <w:b w:val="0"/>
          <w:bCs w:val="0"/>
          <w:sz w:val="21"/>
          <w:szCs w:val="21"/>
          <w:highlight w:val="none"/>
          <w:lang w:val="en-US" w:eastAsia="zh-CN" w:bidi="ar-SA"/>
        </w:rPr>
        <w:t>∑</w:t>
      </w:r>
      <w:r>
        <w:rPr>
          <w:rFonts w:hint="eastAsia" w:ascii="Times New Roman" w:hAnsi="Times New Roman" w:eastAsia="宋体" w:cs="Times New Roman"/>
          <w:b w:val="0"/>
          <w:bCs w:val="0"/>
          <w:sz w:val="21"/>
          <w:szCs w:val="21"/>
          <w:highlight w:val="none"/>
          <w:lang w:val="en-US" w:eastAsia="zh-CN" w:bidi="ar-SA"/>
        </w:rPr>
        <w:t>（中标价×按要求完成批次数）；</w:t>
      </w:r>
    </w:p>
    <w:p w14:paraId="69ADD873">
      <w:pPr>
        <w:pStyle w:val="18"/>
        <w:keepNext w:val="0"/>
        <w:keepLines w:val="0"/>
        <w:pageBreakBefore w:val="0"/>
        <w:widowControl w:val="0"/>
        <w:spacing w:line="360" w:lineRule="auto"/>
        <w:ind w:right="112" w:firstLine="420"/>
        <w:jc w:val="both"/>
        <w:rPr>
          <w:rFonts w:hint="eastAsia" w:ascii="Times New Roman" w:hAnsi="Times New Roman" w:eastAsia="宋体" w:cs="Times New Roman"/>
          <w:b w:val="0"/>
          <w:bCs w:val="0"/>
          <w:sz w:val="21"/>
          <w:szCs w:val="21"/>
          <w:highlight w:val="none"/>
          <w:lang w:val="en-US" w:eastAsia="zh-CN" w:bidi="ar-SA"/>
        </w:rPr>
      </w:pPr>
      <w:r>
        <w:rPr>
          <w:rFonts w:hint="eastAsia" w:ascii="Times New Roman" w:hAnsi="Times New Roman" w:eastAsia="宋体" w:cs="Times New Roman"/>
          <w:b w:val="0"/>
          <w:bCs w:val="0"/>
          <w:sz w:val="21"/>
          <w:szCs w:val="21"/>
          <w:highlight w:val="none"/>
          <w:lang w:val="en-US" w:eastAsia="zh-CN" w:bidi="ar-SA"/>
        </w:rPr>
        <w:t xml:space="preserve">2）90分≤考核成绩＜95分，实际支付费用 = </w:t>
      </w:r>
      <w:r>
        <w:rPr>
          <w:rFonts w:hint="eastAsia" w:eastAsia="宋体" w:cs="Times New Roman"/>
          <w:b w:val="0"/>
          <w:bCs w:val="0"/>
          <w:sz w:val="21"/>
          <w:szCs w:val="21"/>
          <w:highlight w:val="none"/>
          <w:lang w:val="en-US" w:eastAsia="zh-CN" w:bidi="ar-SA"/>
        </w:rPr>
        <w:t>∑</w:t>
      </w:r>
      <w:r>
        <w:rPr>
          <w:rFonts w:hint="eastAsia" w:ascii="Times New Roman" w:hAnsi="Times New Roman" w:eastAsia="宋体" w:cs="Times New Roman"/>
          <w:b w:val="0"/>
          <w:bCs w:val="0"/>
          <w:sz w:val="21"/>
          <w:szCs w:val="21"/>
          <w:highlight w:val="none"/>
          <w:lang w:val="en-US" w:eastAsia="zh-CN" w:bidi="ar-SA"/>
        </w:rPr>
        <w:t>（中标价×按要求完成批次数）×95%；</w:t>
      </w:r>
    </w:p>
    <w:p w14:paraId="2B265792">
      <w:pPr>
        <w:pStyle w:val="18"/>
        <w:keepNext w:val="0"/>
        <w:keepLines w:val="0"/>
        <w:pageBreakBefore w:val="0"/>
        <w:widowControl w:val="0"/>
        <w:spacing w:line="360" w:lineRule="auto"/>
        <w:ind w:right="112" w:firstLine="420"/>
        <w:jc w:val="both"/>
        <w:rPr>
          <w:rFonts w:hint="eastAsia" w:ascii="Times New Roman" w:hAnsi="Times New Roman" w:eastAsia="宋体" w:cs="Times New Roman"/>
          <w:b w:val="0"/>
          <w:bCs w:val="0"/>
          <w:sz w:val="21"/>
          <w:szCs w:val="21"/>
          <w:highlight w:val="none"/>
          <w:lang w:val="en-US" w:eastAsia="zh-CN" w:bidi="ar-SA"/>
        </w:rPr>
      </w:pPr>
      <w:r>
        <w:rPr>
          <w:rFonts w:hint="eastAsia" w:ascii="Times New Roman" w:hAnsi="Times New Roman" w:eastAsia="宋体" w:cs="Times New Roman"/>
          <w:b w:val="0"/>
          <w:bCs w:val="0"/>
          <w:sz w:val="21"/>
          <w:szCs w:val="21"/>
          <w:highlight w:val="none"/>
          <w:lang w:val="en-US" w:eastAsia="zh-CN" w:bidi="ar-SA"/>
        </w:rPr>
        <w:t xml:space="preserve">3）85分≤考核成绩＜90分，实际支付费用 = </w:t>
      </w:r>
      <w:r>
        <w:rPr>
          <w:rFonts w:hint="eastAsia" w:eastAsia="宋体" w:cs="Times New Roman"/>
          <w:b w:val="0"/>
          <w:bCs w:val="0"/>
          <w:sz w:val="21"/>
          <w:szCs w:val="21"/>
          <w:highlight w:val="none"/>
          <w:lang w:val="en-US" w:eastAsia="zh-CN" w:bidi="ar-SA"/>
        </w:rPr>
        <w:t>∑</w:t>
      </w:r>
      <w:r>
        <w:rPr>
          <w:rFonts w:hint="eastAsia" w:ascii="Times New Roman" w:hAnsi="Times New Roman" w:eastAsia="宋体" w:cs="Times New Roman"/>
          <w:b w:val="0"/>
          <w:bCs w:val="0"/>
          <w:sz w:val="21"/>
          <w:szCs w:val="21"/>
          <w:highlight w:val="none"/>
          <w:lang w:val="en-US" w:eastAsia="zh-CN" w:bidi="ar-SA"/>
        </w:rPr>
        <w:t>（中标价×按要求完成批次数）×90%。</w:t>
      </w:r>
    </w:p>
    <w:p w14:paraId="0A47C2B4">
      <w:pPr>
        <w:pStyle w:val="18"/>
        <w:keepNext w:val="0"/>
        <w:keepLines w:val="0"/>
        <w:pageBreakBefore w:val="0"/>
        <w:widowControl w:val="0"/>
        <w:spacing w:line="360" w:lineRule="auto"/>
        <w:ind w:right="112" w:firstLine="420"/>
        <w:jc w:val="both"/>
        <w:rPr>
          <w:rFonts w:hint="eastAsia" w:ascii="Times New Roman" w:hAnsi="Times New Roman" w:eastAsia="宋体" w:cs="Times New Roman"/>
          <w:b w:val="0"/>
          <w:bCs w:val="0"/>
          <w:sz w:val="21"/>
          <w:szCs w:val="21"/>
          <w:highlight w:val="none"/>
          <w:lang w:val="en-US" w:eastAsia="zh-CN" w:bidi="ar-SA"/>
        </w:rPr>
      </w:pPr>
      <w:r>
        <w:rPr>
          <w:rFonts w:hint="eastAsia" w:ascii="Times New Roman" w:hAnsi="Times New Roman" w:eastAsia="宋体" w:cs="Times New Roman"/>
          <w:b w:val="0"/>
          <w:bCs w:val="0"/>
          <w:sz w:val="21"/>
          <w:szCs w:val="21"/>
          <w:highlight w:val="none"/>
          <w:lang w:val="en-US" w:eastAsia="zh-CN" w:bidi="ar-SA"/>
        </w:rPr>
        <w:t xml:space="preserve">4）80分≤考核成绩＜85分，实际支付费用 = </w:t>
      </w:r>
      <w:r>
        <w:rPr>
          <w:rFonts w:hint="eastAsia" w:eastAsia="宋体" w:cs="Times New Roman"/>
          <w:b w:val="0"/>
          <w:bCs w:val="0"/>
          <w:sz w:val="21"/>
          <w:szCs w:val="21"/>
          <w:highlight w:val="none"/>
          <w:lang w:val="en-US" w:eastAsia="zh-CN" w:bidi="ar-SA"/>
        </w:rPr>
        <w:t>∑</w:t>
      </w:r>
      <w:r>
        <w:rPr>
          <w:rFonts w:hint="eastAsia" w:ascii="Times New Roman" w:hAnsi="Times New Roman" w:eastAsia="宋体" w:cs="Times New Roman"/>
          <w:b w:val="0"/>
          <w:bCs w:val="0"/>
          <w:sz w:val="21"/>
          <w:szCs w:val="21"/>
          <w:highlight w:val="none"/>
          <w:lang w:val="en-US" w:eastAsia="zh-CN" w:bidi="ar-SA"/>
        </w:rPr>
        <w:t>（中标价×按要求完成批次数）×85%。</w:t>
      </w:r>
    </w:p>
    <w:p w14:paraId="243478BF">
      <w:pPr>
        <w:pStyle w:val="18"/>
        <w:keepNext w:val="0"/>
        <w:keepLines w:val="0"/>
        <w:pageBreakBefore w:val="0"/>
        <w:widowControl w:val="0"/>
        <w:spacing w:line="360" w:lineRule="auto"/>
        <w:ind w:right="112" w:firstLine="420"/>
        <w:jc w:val="both"/>
        <w:rPr>
          <w:rFonts w:hint="eastAsia" w:ascii="Times New Roman" w:hAnsi="Times New Roman" w:eastAsia="宋体" w:cs="Times New Roman"/>
          <w:b w:val="0"/>
          <w:bCs w:val="0"/>
          <w:sz w:val="21"/>
          <w:szCs w:val="21"/>
          <w:highlight w:val="none"/>
          <w:lang w:val="en-US" w:eastAsia="zh-CN" w:bidi="ar-SA"/>
        </w:rPr>
      </w:pPr>
      <w:r>
        <w:rPr>
          <w:rFonts w:hint="eastAsia" w:ascii="Times New Roman" w:hAnsi="Times New Roman" w:eastAsia="宋体" w:cs="Times New Roman"/>
          <w:b w:val="0"/>
          <w:bCs w:val="0"/>
          <w:sz w:val="21"/>
          <w:szCs w:val="21"/>
          <w:highlight w:val="none"/>
          <w:lang w:val="en-US" w:eastAsia="zh-CN" w:bidi="ar-SA"/>
        </w:rPr>
        <w:t xml:space="preserve">5）考核成绩＜80分，实际支付费用 = </w:t>
      </w:r>
      <w:r>
        <w:rPr>
          <w:rFonts w:hint="eastAsia" w:eastAsia="宋体" w:cs="Times New Roman"/>
          <w:b w:val="0"/>
          <w:bCs w:val="0"/>
          <w:sz w:val="21"/>
          <w:szCs w:val="21"/>
          <w:highlight w:val="none"/>
          <w:lang w:val="en-US" w:eastAsia="zh-CN" w:bidi="ar-SA"/>
        </w:rPr>
        <w:t>∑</w:t>
      </w:r>
      <w:r>
        <w:rPr>
          <w:rFonts w:hint="eastAsia" w:ascii="Times New Roman" w:hAnsi="Times New Roman" w:eastAsia="宋体" w:cs="Times New Roman"/>
          <w:b w:val="0"/>
          <w:bCs w:val="0"/>
          <w:sz w:val="21"/>
          <w:szCs w:val="21"/>
          <w:highlight w:val="none"/>
          <w:lang w:val="en-US" w:eastAsia="zh-CN" w:bidi="ar-SA"/>
        </w:rPr>
        <w:t>（中标价×按要求完成批次数）×80%。</w:t>
      </w:r>
    </w:p>
    <w:p w14:paraId="1BC5EDAE">
      <w:pPr>
        <w:pStyle w:val="18"/>
        <w:keepNext w:val="0"/>
        <w:keepLines w:val="0"/>
        <w:pageBreakBefore w:val="0"/>
        <w:widowControl w:val="0"/>
        <w:spacing w:line="360" w:lineRule="auto"/>
        <w:ind w:right="112" w:firstLine="420"/>
        <w:jc w:val="both"/>
        <w:rPr>
          <w:rFonts w:hint="default" w:ascii="Times New Roman" w:hAnsi="Times New Roman" w:eastAsia="宋体" w:cs="Times New Roman"/>
          <w:b w:val="0"/>
          <w:bCs w:val="0"/>
          <w:sz w:val="21"/>
          <w:szCs w:val="21"/>
          <w:highlight w:val="none"/>
          <w:lang w:val="en-US" w:eastAsia="zh-CN" w:bidi="ar-SA"/>
        </w:rPr>
      </w:pPr>
      <w:r>
        <w:rPr>
          <w:rFonts w:hint="default" w:ascii="Times New Roman" w:hAnsi="Times New Roman" w:eastAsia="宋体" w:cs="Times New Roman"/>
          <w:b w:val="0"/>
          <w:bCs w:val="0"/>
          <w:sz w:val="21"/>
          <w:szCs w:val="21"/>
          <w:highlight w:val="none"/>
          <w:lang w:val="en-US" w:eastAsia="zh-CN" w:bidi="ar-SA"/>
        </w:rPr>
        <w:t>季度检测总费用为该单位负责运维的所有快检室的实际支付费用求和得到。</w:t>
      </w:r>
    </w:p>
    <w:p w14:paraId="47FC6158">
      <w:pPr>
        <w:pStyle w:val="18"/>
        <w:keepNext w:val="0"/>
        <w:keepLines w:val="0"/>
        <w:pageBreakBefore w:val="0"/>
        <w:widowControl w:val="0"/>
        <w:spacing w:line="360" w:lineRule="auto"/>
        <w:ind w:right="112" w:firstLine="420"/>
        <w:jc w:val="both"/>
        <w:rPr>
          <w:rFonts w:hint="default" w:ascii="Times New Roman" w:hAnsi="Times New Roman" w:eastAsia="宋体" w:cs="Times New Roman"/>
          <w:b w:val="0"/>
          <w:bCs w:val="0"/>
          <w:sz w:val="21"/>
          <w:szCs w:val="21"/>
          <w:highlight w:val="none"/>
          <w:lang w:val="en-US" w:eastAsia="zh-CN" w:bidi="ar-SA"/>
        </w:rPr>
      </w:pPr>
      <w:r>
        <w:rPr>
          <w:rFonts w:hint="eastAsia" w:eastAsia="宋体" w:cs="Times New Roman"/>
          <w:b w:val="0"/>
          <w:bCs w:val="0"/>
          <w:sz w:val="21"/>
          <w:szCs w:val="21"/>
          <w:highlight w:val="none"/>
          <w:lang w:val="en-US" w:eastAsia="zh-CN" w:bidi="ar-SA"/>
        </w:rPr>
        <w:t>8.3.2</w:t>
      </w:r>
      <w:r>
        <w:rPr>
          <w:rFonts w:hint="default" w:ascii="Times New Roman" w:hAnsi="Times New Roman" w:eastAsia="宋体" w:cs="Times New Roman"/>
          <w:b w:val="0"/>
          <w:bCs w:val="0"/>
          <w:sz w:val="21"/>
          <w:szCs w:val="21"/>
          <w:highlight w:val="none"/>
          <w:lang w:val="en-US" w:eastAsia="zh-CN" w:bidi="ar-SA"/>
        </w:rPr>
        <w:t>季度考核分值。季度考核分值由其运行维护的所有快检室的季度考核成绩计算平均分得出。</w:t>
      </w:r>
    </w:p>
    <w:p w14:paraId="5DD07354">
      <w:pPr>
        <w:pStyle w:val="18"/>
        <w:keepNext w:val="0"/>
        <w:keepLines w:val="0"/>
        <w:pageBreakBefore w:val="0"/>
        <w:widowControl w:val="0"/>
        <w:spacing w:line="360" w:lineRule="auto"/>
        <w:ind w:right="112" w:firstLine="420"/>
        <w:jc w:val="both"/>
        <w:rPr>
          <w:rFonts w:hint="default" w:ascii="Times New Roman" w:hAnsi="Times New Roman" w:eastAsia="宋体" w:cs="Times New Roman"/>
          <w:b w:val="0"/>
          <w:bCs w:val="0"/>
          <w:sz w:val="21"/>
          <w:szCs w:val="21"/>
          <w:highlight w:val="none"/>
          <w:lang w:val="en-US" w:eastAsia="zh-CN" w:bidi="ar-SA"/>
        </w:rPr>
      </w:pPr>
      <w:r>
        <w:rPr>
          <w:rFonts w:hint="default" w:ascii="Times New Roman" w:hAnsi="Times New Roman" w:eastAsia="宋体" w:cs="Times New Roman"/>
          <w:b w:val="0"/>
          <w:bCs w:val="0"/>
          <w:sz w:val="21"/>
          <w:szCs w:val="21"/>
          <w:highlight w:val="none"/>
          <w:lang w:val="en-US" w:eastAsia="zh-CN" w:bidi="ar-SA"/>
        </w:rPr>
        <w:t>（3）年度考核分值。年度考核分值由季度考核分值计算平均分得出，并根据考核分值确定年度综合评价结果，分为优秀（95分及以上）、良好（90</w:t>
      </w:r>
      <w:r>
        <w:rPr>
          <w:rFonts w:hint="default" w:eastAsia="宋体" w:cs="Times New Roman"/>
          <w:b w:val="0"/>
          <w:bCs w:val="0"/>
          <w:sz w:val="21"/>
          <w:szCs w:val="21"/>
          <w:highlight w:val="none"/>
          <w:lang w:val="en-US" w:eastAsia="zh-CN" w:bidi="ar-SA"/>
        </w:rPr>
        <w:t>～</w:t>
      </w:r>
      <w:r>
        <w:rPr>
          <w:rFonts w:hint="default" w:ascii="Times New Roman" w:hAnsi="Times New Roman" w:eastAsia="宋体" w:cs="Times New Roman"/>
          <w:b w:val="0"/>
          <w:bCs w:val="0"/>
          <w:sz w:val="21"/>
          <w:szCs w:val="21"/>
          <w:highlight w:val="none"/>
          <w:lang w:val="en-US" w:eastAsia="zh-CN" w:bidi="ar-SA"/>
        </w:rPr>
        <w:t>95分）、中等（85</w:t>
      </w:r>
      <w:r>
        <w:rPr>
          <w:rFonts w:hint="default" w:eastAsia="宋体" w:cs="Times New Roman"/>
          <w:b w:val="0"/>
          <w:bCs w:val="0"/>
          <w:sz w:val="21"/>
          <w:szCs w:val="21"/>
          <w:highlight w:val="none"/>
          <w:lang w:val="en-US" w:eastAsia="zh-CN" w:bidi="ar-SA"/>
        </w:rPr>
        <w:t>～</w:t>
      </w:r>
      <w:r>
        <w:rPr>
          <w:rFonts w:hint="default" w:ascii="Times New Roman" w:hAnsi="Times New Roman" w:eastAsia="宋体" w:cs="Times New Roman"/>
          <w:b w:val="0"/>
          <w:bCs w:val="0"/>
          <w:sz w:val="21"/>
          <w:szCs w:val="21"/>
          <w:highlight w:val="none"/>
          <w:lang w:val="en-US" w:eastAsia="zh-CN" w:bidi="ar-SA"/>
        </w:rPr>
        <w:t>90分）、合格（80</w:t>
      </w:r>
      <w:r>
        <w:rPr>
          <w:rFonts w:hint="default" w:eastAsia="宋体" w:cs="Times New Roman"/>
          <w:b w:val="0"/>
          <w:bCs w:val="0"/>
          <w:sz w:val="21"/>
          <w:szCs w:val="21"/>
          <w:highlight w:val="none"/>
          <w:lang w:val="en-US" w:eastAsia="zh-CN" w:bidi="ar-SA"/>
        </w:rPr>
        <w:t>～</w:t>
      </w:r>
      <w:r>
        <w:rPr>
          <w:rFonts w:hint="default" w:ascii="Times New Roman" w:hAnsi="Times New Roman" w:eastAsia="宋体" w:cs="Times New Roman"/>
          <w:b w:val="0"/>
          <w:bCs w:val="0"/>
          <w:sz w:val="21"/>
          <w:szCs w:val="21"/>
          <w:highlight w:val="none"/>
          <w:lang w:val="en-US" w:eastAsia="zh-CN" w:bidi="ar-SA"/>
        </w:rPr>
        <w:t>85分）、不合格（80分以下）五个等次。</w:t>
      </w:r>
    </w:p>
    <w:p w14:paraId="041E2396">
      <w:pPr>
        <w:pStyle w:val="206"/>
        <w:numPr>
          <w:ilvl w:val="0"/>
          <w:numId w:val="0"/>
        </w:numPr>
        <w:ind w:firstLine="422" w:firstLineChars="200"/>
        <w:rPr>
          <w:rFonts w:hint="eastAsia" w:ascii="宋体" w:hAnsi="宋体" w:eastAsia="宋体"/>
          <w:b/>
          <w:bCs/>
          <w:color w:val="auto"/>
          <w:sz w:val="21"/>
          <w:szCs w:val="21"/>
          <w:highlight w:val="none"/>
        </w:rPr>
      </w:pPr>
      <w:r>
        <w:rPr>
          <w:rFonts w:hint="eastAsia"/>
          <w:b/>
          <w:bCs/>
          <w:color w:val="auto"/>
          <w:sz w:val="21"/>
          <w:szCs w:val="21"/>
          <w:highlight w:val="none"/>
          <w:lang w:val="en-US" w:eastAsia="zh-CN"/>
        </w:rPr>
        <w:t>九</w:t>
      </w:r>
      <w:r>
        <w:rPr>
          <w:rFonts w:hint="eastAsia" w:ascii="宋体" w:hAnsi="宋体" w:eastAsia="宋体"/>
          <w:b/>
          <w:bCs/>
          <w:color w:val="auto"/>
          <w:sz w:val="21"/>
          <w:szCs w:val="21"/>
          <w:highlight w:val="none"/>
        </w:rPr>
        <w:t>、付款方式</w:t>
      </w:r>
    </w:p>
    <w:p w14:paraId="600D27FA">
      <w:pPr>
        <w:pStyle w:val="253"/>
        <w:keepNext w:val="0"/>
        <w:keepLines w:val="0"/>
        <w:pageBreakBefore w:val="0"/>
        <w:widowControl w:val="0"/>
        <w:numPr>
          <w:ilvl w:val="0"/>
          <w:numId w:val="0"/>
        </w:numPr>
        <w:spacing w:before="0" w:after="0" w:line="360" w:lineRule="auto"/>
        <w:ind w:firstLine="420"/>
        <w:jc w:val="both"/>
        <w:rPr>
          <w:rFonts w:hint="default" w:ascii="Times New Roman" w:hAnsi="Times New Roman" w:eastAsia="宋体" w:cs="Times New Roman"/>
          <w:b w:val="0"/>
          <w:bCs w:val="0"/>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9.1</w:t>
      </w:r>
      <w:r>
        <w:rPr>
          <w:rFonts w:hint="default" w:ascii="Times New Roman" w:hAnsi="Times New Roman" w:eastAsia="宋体" w:cs="Times New Roman"/>
          <w:b w:val="0"/>
          <w:bCs w:val="0"/>
          <w:sz w:val="21"/>
          <w:szCs w:val="21"/>
          <w:highlight w:val="none"/>
          <w:lang w:val="en-US" w:eastAsia="zh-CN"/>
        </w:rPr>
        <w:t>本项目原则上按季度下发任务，待季度任务完成后，按季度考核成绩据实核算后支付。</w:t>
      </w:r>
    </w:p>
    <w:p w14:paraId="4EBB9148">
      <w:pPr>
        <w:pStyle w:val="253"/>
        <w:keepNext w:val="0"/>
        <w:keepLines w:val="0"/>
        <w:pageBreakBefore w:val="0"/>
        <w:widowControl w:val="0"/>
        <w:numPr>
          <w:ilvl w:val="0"/>
          <w:numId w:val="0"/>
        </w:numPr>
        <w:spacing w:before="0" w:after="0" w:line="360" w:lineRule="auto"/>
        <w:ind w:firstLine="420"/>
        <w:jc w:val="both"/>
        <w:rPr>
          <w:rFonts w:hint="default" w:ascii="Times New Roman" w:hAnsi="Times New Roman" w:eastAsia="宋体" w:cs="Times New Roman"/>
          <w:sz w:val="21"/>
          <w:szCs w:val="21"/>
          <w:highlight w:val="none"/>
          <w:lang w:val="en-US" w:eastAsia="zh-CN"/>
        </w:rPr>
      </w:pPr>
      <w:r>
        <w:rPr>
          <w:rFonts w:hint="eastAsia" w:ascii="Times New Roman" w:hAnsi="Times New Roman" w:cs="Times New Roman"/>
          <w:b w:val="0"/>
          <w:bCs w:val="0"/>
          <w:sz w:val="21"/>
          <w:szCs w:val="21"/>
          <w:highlight w:val="none"/>
          <w:lang w:val="en-US" w:eastAsia="zh-CN"/>
        </w:rPr>
        <w:t>9.2</w:t>
      </w:r>
      <w:r>
        <w:rPr>
          <w:rFonts w:hint="eastAsia" w:ascii="Times New Roman" w:hAnsi="Times New Roman" w:eastAsia="宋体" w:cs="Times New Roman"/>
          <w:sz w:val="21"/>
          <w:szCs w:val="21"/>
          <w:highlight w:val="none"/>
          <w:lang w:val="en-US" w:eastAsia="zh-CN"/>
        </w:rPr>
        <w:t>供应商需按照采购人要求，依据采购人任务委托书、工作量清单、考核结果及其他结算依据提出付款申请。采购人在收到供应商提交的完整结算资料后进行审核，审核结果通知供应商，供应商应根据采购人审核确认结果开具正式发票。采购人在收到供应商正式发票后20个工作日内向政府采购支付部门提出办理财政支付申请手续，并在财政资金实际拨付后及时向供应商支付相应款项；因财政拨付、政策调整或非采购人原因导致付款延迟的，不视为采购人违约。</w:t>
      </w:r>
    </w:p>
    <w:p w14:paraId="234117D1">
      <w:pPr>
        <w:pStyle w:val="253"/>
        <w:keepNext w:val="0"/>
        <w:keepLines w:val="0"/>
        <w:pageBreakBefore w:val="0"/>
        <w:widowControl w:val="0"/>
        <w:numPr>
          <w:ilvl w:val="0"/>
          <w:numId w:val="0"/>
        </w:numPr>
        <w:spacing w:line="360" w:lineRule="auto"/>
        <w:ind w:firstLine="420"/>
        <w:rPr>
          <w:rFonts w:hint="default" w:ascii="Times New Roman" w:hAnsi="Times New Roman" w:eastAsia="宋体" w:cs="Times New Roman"/>
          <w:b w:val="0"/>
          <w:bCs w:val="0"/>
          <w:sz w:val="21"/>
          <w:szCs w:val="21"/>
          <w:highlight w:val="none"/>
          <w:lang w:val="en-US" w:eastAsia="zh-CN"/>
        </w:rPr>
      </w:pPr>
      <w:r>
        <w:rPr>
          <w:rFonts w:hint="eastAsia" w:ascii="Times New Roman" w:hAnsi="Times New Roman" w:cs="Times New Roman"/>
          <w:b w:val="0"/>
          <w:bCs w:val="0"/>
          <w:sz w:val="21"/>
          <w:szCs w:val="21"/>
          <w:highlight w:val="none"/>
          <w:lang w:val="en-US" w:eastAsia="zh-CN"/>
        </w:rPr>
        <w:t>9.3</w:t>
      </w:r>
      <w:r>
        <w:rPr>
          <w:rFonts w:hint="default" w:ascii="Times New Roman" w:hAnsi="Times New Roman" w:eastAsia="宋体" w:cs="Times New Roman"/>
          <w:b w:val="0"/>
          <w:bCs w:val="0"/>
          <w:sz w:val="21"/>
          <w:szCs w:val="21"/>
          <w:highlight w:val="none"/>
          <w:lang w:val="en-US" w:eastAsia="zh-CN"/>
        </w:rPr>
        <w:t>服务期内的合同价款结算，以实际发生数量结合供应商投标所报单价以及各季度考核</w:t>
      </w:r>
      <w:r>
        <w:rPr>
          <w:rFonts w:hint="default" w:ascii="Times New Roman" w:hAnsi="Times New Roman" w:cs="Times New Roman"/>
          <w:b w:val="0"/>
          <w:bCs w:val="0"/>
          <w:sz w:val="21"/>
          <w:szCs w:val="21"/>
          <w:highlight w:val="none"/>
          <w:lang w:val="en-US" w:eastAsia="zh-CN"/>
        </w:rPr>
        <w:t>成绩据</w:t>
      </w:r>
      <w:r>
        <w:rPr>
          <w:rFonts w:hint="default" w:ascii="Times New Roman" w:hAnsi="Times New Roman" w:eastAsia="宋体" w:cs="Times New Roman"/>
          <w:b w:val="0"/>
          <w:bCs w:val="0"/>
          <w:sz w:val="21"/>
          <w:szCs w:val="21"/>
          <w:highlight w:val="none"/>
          <w:lang w:val="en-US" w:eastAsia="zh-CN"/>
        </w:rPr>
        <w:t>实核算。</w:t>
      </w:r>
    </w:p>
    <w:p w14:paraId="063A0935">
      <w:pPr>
        <w:pStyle w:val="19"/>
        <w:spacing w:line="360" w:lineRule="auto"/>
        <w:rPr>
          <w:rFonts w:hint="eastAsia" w:ascii="宋体" w:hAnsi="宋体" w:eastAsia="宋体" w:cs="宋体"/>
          <w:sz w:val="21"/>
          <w:szCs w:val="21"/>
          <w:highlight w:val="yellow"/>
          <w:lang w:eastAsia="zh-CN"/>
        </w:rPr>
      </w:pPr>
    </w:p>
    <w:p w14:paraId="0979D56D">
      <w:pPr>
        <w:rPr>
          <w:rFonts w:hint="eastAsia"/>
        </w:rPr>
      </w:pPr>
      <w:r>
        <w:rPr>
          <w:rFonts w:hint="eastAsia"/>
        </w:rPr>
        <w:br w:type="page"/>
      </w:r>
    </w:p>
    <w:p w14:paraId="19FF3BCA">
      <w:pPr>
        <w:pStyle w:val="38"/>
        <w:rPr>
          <w:rFonts w:hint="eastAsia"/>
        </w:rPr>
      </w:pPr>
    </w:p>
    <w:p w14:paraId="194BFFF5">
      <w:pPr>
        <w:pStyle w:val="2"/>
        <w:numPr>
          <w:ilvl w:val="0"/>
          <w:numId w:val="8"/>
        </w:numPr>
        <w:ind w:left="-5" w:leftChars="-68" w:hanging="138" w:hangingChars="43"/>
        <w:rPr>
          <w:rFonts w:hint="eastAsia" w:ascii="宋体" w:hAnsi="宋体" w:cs="宋体"/>
        </w:rPr>
      </w:pPr>
      <w:bookmarkStart w:id="18" w:name="_Toc27993"/>
      <w:r>
        <w:rPr>
          <w:rFonts w:hint="eastAsia" w:ascii="宋体" w:hAnsi="宋体" w:cs="宋体"/>
        </w:rPr>
        <w:t>合同主要条款及格式</w:t>
      </w:r>
      <w:bookmarkEnd w:id="16"/>
      <w:bookmarkEnd w:id="18"/>
    </w:p>
    <w:p w14:paraId="7A40CFD4">
      <w:pPr>
        <w:widowControl/>
        <w:shd w:val="clear" w:color="auto" w:fill="FFFFFF"/>
        <w:spacing w:line="360" w:lineRule="auto"/>
        <w:jc w:val="center"/>
        <w:outlineLvl w:val="9"/>
        <w:rPr>
          <w:rFonts w:hint="eastAsia" w:ascii="宋体" w:hAnsi="宋体" w:cs="宋体"/>
          <w:kern w:val="0"/>
          <w:sz w:val="44"/>
          <w:szCs w:val="44"/>
          <w:highlight w:val="none"/>
        </w:rPr>
      </w:pPr>
      <w:bookmarkStart w:id="19" w:name="_Toc15886"/>
      <w:r>
        <w:rPr>
          <w:rFonts w:hint="eastAsia" w:ascii="宋体" w:hAnsi="宋体" w:cs="宋体"/>
          <w:kern w:val="0"/>
          <w:sz w:val="44"/>
          <w:szCs w:val="44"/>
          <w:highlight w:val="none"/>
        </w:rPr>
        <w:t>南京市政府采购合同</w:t>
      </w:r>
    </w:p>
    <w:p w14:paraId="17B7AB6A">
      <w:pPr>
        <w:widowControl/>
        <w:shd w:val="clear" w:color="auto" w:fill="FFFFFF"/>
        <w:spacing w:line="360" w:lineRule="auto"/>
        <w:ind w:firstLine="315"/>
        <w:outlineLvl w:val="9"/>
        <w:rPr>
          <w:rFonts w:hint="eastAsia" w:ascii="宋体" w:hAnsi="宋体" w:cs="宋体"/>
          <w:kern w:val="0"/>
          <w:szCs w:val="21"/>
          <w:highlight w:val="none"/>
        </w:rPr>
      </w:pPr>
      <w:r>
        <w:rPr>
          <w:rFonts w:hint="eastAsia" w:ascii="宋体" w:hAnsi="宋体" w:cs="宋体"/>
          <w:b/>
          <w:bCs/>
          <w:kern w:val="0"/>
          <w:sz w:val="32"/>
          <w:szCs w:val="32"/>
          <w:highlight w:val="none"/>
        </w:rPr>
        <w:t>           </w:t>
      </w:r>
      <w:r>
        <w:rPr>
          <w:rFonts w:hint="eastAsia" w:ascii="宋体" w:hAnsi="宋体" w:cs="宋体"/>
          <w:b/>
          <w:bCs/>
          <w:kern w:val="0"/>
          <w:sz w:val="32"/>
          <w:highlight w:val="none"/>
        </w:rPr>
        <w:t> </w:t>
      </w:r>
      <w:r>
        <w:rPr>
          <w:rFonts w:hint="eastAsia" w:ascii="宋体" w:hAnsi="宋体" w:cs="宋体"/>
          <w:kern w:val="0"/>
          <w:sz w:val="32"/>
          <w:szCs w:val="32"/>
          <w:highlight w:val="none"/>
        </w:rPr>
        <w:t> </w:t>
      </w:r>
    </w:p>
    <w:p w14:paraId="1CF55429">
      <w:pPr>
        <w:widowControl/>
        <w:shd w:val="clear" w:color="auto" w:fill="FFFFFF"/>
        <w:spacing w:line="360" w:lineRule="auto"/>
        <w:ind w:firstLine="315"/>
        <w:outlineLvl w:val="9"/>
        <w:rPr>
          <w:rFonts w:hint="eastAsia" w:ascii="宋体" w:hAnsi="宋体" w:cs="宋体"/>
          <w:kern w:val="0"/>
          <w:szCs w:val="21"/>
          <w:highlight w:val="none"/>
        </w:rPr>
      </w:pPr>
      <w:r>
        <w:rPr>
          <w:rFonts w:hint="eastAsia" w:ascii="宋体" w:hAnsi="宋体" w:cs="宋体"/>
          <w:kern w:val="0"/>
          <w:sz w:val="32"/>
          <w:szCs w:val="32"/>
          <w:highlight w:val="none"/>
        </w:rPr>
        <w:t> </w:t>
      </w:r>
    </w:p>
    <w:p w14:paraId="1EDAA62A">
      <w:pPr>
        <w:widowControl/>
        <w:shd w:val="clear" w:color="auto" w:fill="FFFFFF"/>
        <w:spacing w:line="360" w:lineRule="auto"/>
        <w:ind w:firstLine="315"/>
        <w:outlineLvl w:val="9"/>
        <w:rPr>
          <w:rFonts w:hint="eastAsia" w:ascii="宋体" w:hAnsi="宋体" w:cs="宋体"/>
          <w:kern w:val="0"/>
          <w:szCs w:val="21"/>
          <w:highlight w:val="none"/>
        </w:rPr>
      </w:pPr>
      <w:r>
        <w:rPr>
          <w:rFonts w:hint="eastAsia" w:ascii="宋体" w:hAnsi="宋体" w:cs="宋体"/>
          <w:b/>
          <w:bCs/>
          <w:kern w:val="0"/>
          <w:sz w:val="36"/>
          <w:szCs w:val="36"/>
          <w:highlight w:val="none"/>
        </w:rPr>
        <w:t> </w:t>
      </w:r>
    </w:p>
    <w:p w14:paraId="4E1926CA">
      <w:pPr>
        <w:widowControl/>
        <w:shd w:val="clear" w:color="auto" w:fill="FFFFFF"/>
        <w:spacing w:line="360" w:lineRule="auto"/>
        <w:ind w:firstLine="315"/>
        <w:outlineLvl w:val="9"/>
        <w:rPr>
          <w:rFonts w:hint="eastAsia" w:ascii="宋体" w:hAnsi="宋体" w:cs="宋体"/>
          <w:b/>
          <w:bCs/>
          <w:kern w:val="0"/>
          <w:sz w:val="36"/>
          <w:szCs w:val="36"/>
          <w:highlight w:val="none"/>
        </w:rPr>
      </w:pPr>
      <w:r>
        <w:rPr>
          <w:rFonts w:hint="eastAsia" w:ascii="宋体" w:hAnsi="宋体" w:cs="宋体"/>
          <w:b/>
          <w:bCs/>
          <w:kern w:val="0"/>
          <w:sz w:val="36"/>
          <w:szCs w:val="36"/>
          <w:highlight w:val="none"/>
        </w:rPr>
        <w:t> </w:t>
      </w:r>
    </w:p>
    <w:p w14:paraId="5B59915C">
      <w:pPr>
        <w:widowControl/>
        <w:shd w:val="clear" w:color="auto" w:fill="FFFFFF"/>
        <w:spacing w:line="360" w:lineRule="auto"/>
        <w:ind w:firstLine="315"/>
        <w:outlineLvl w:val="9"/>
        <w:rPr>
          <w:rFonts w:hint="eastAsia" w:ascii="宋体" w:hAnsi="宋体" w:cs="宋体"/>
          <w:kern w:val="0"/>
          <w:sz w:val="32"/>
          <w:szCs w:val="32"/>
          <w:highlight w:val="none"/>
        </w:rPr>
      </w:pPr>
    </w:p>
    <w:p w14:paraId="79895BC8">
      <w:pPr>
        <w:widowControl/>
        <w:shd w:val="clear" w:color="auto" w:fill="FFFFFF"/>
        <w:spacing w:line="360" w:lineRule="auto"/>
        <w:outlineLvl w:val="9"/>
        <w:rPr>
          <w:rFonts w:hint="eastAsia" w:ascii="宋体" w:hAnsi="宋体" w:cs="宋体"/>
          <w:kern w:val="0"/>
          <w:sz w:val="32"/>
          <w:szCs w:val="32"/>
          <w:highlight w:val="none"/>
        </w:rPr>
      </w:pPr>
    </w:p>
    <w:p w14:paraId="2B5B5690">
      <w:pPr>
        <w:widowControl/>
        <w:shd w:val="clear" w:color="auto" w:fill="FFFFFF"/>
        <w:spacing w:line="360" w:lineRule="auto"/>
        <w:ind w:firstLine="1918"/>
        <w:outlineLvl w:val="9"/>
        <w:rPr>
          <w:rFonts w:hint="eastAsia" w:ascii="宋体" w:hAnsi="宋体" w:cs="宋体"/>
          <w:kern w:val="0"/>
          <w:sz w:val="32"/>
          <w:szCs w:val="32"/>
          <w:highlight w:val="none"/>
        </w:rPr>
      </w:pPr>
      <w:r>
        <w:rPr>
          <w:rFonts w:hint="eastAsia" w:ascii="宋体" w:hAnsi="宋体" w:cs="宋体"/>
          <w:b/>
          <w:bCs/>
          <w:kern w:val="0"/>
          <w:sz w:val="32"/>
          <w:szCs w:val="32"/>
          <w:highlight w:val="none"/>
        </w:rPr>
        <w:t>合同编号 ：</w:t>
      </w:r>
      <w:r>
        <w:rPr>
          <w:rFonts w:hint="eastAsia" w:ascii="宋体" w:hAnsi="宋体" w:cs="宋体"/>
          <w:b/>
          <w:bCs/>
          <w:kern w:val="0"/>
          <w:sz w:val="32"/>
          <w:szCs w:val="32"/>
          <w:highlight w:val="none"/>
          <w:u w:val="single"/>
        </w:rPr>
        <w:t>          </w:t>
      </w:r>
    </w:p>
    <w:p w14:paraId="7BA112DE">
      <w:pPr>
        <w:widowControl/>
        <w:shd w:val="clear" w:color="auto" w:fill="FFFFFF"/>
        <w:spacing w:line="360" w:lineRule="auto"/>
        <w:ind w:firstLine="1918"/>
        <w:outlineLvl w:val="9"/>
        <w:rPr>
          <w:rFonts w:hint="eastAsia" w:ascii="宋体" w:hAnsi="宋体" w:cs="宋体"/>
          <w:kern w:val="0"/>
          <w:sz w:val="32"/>
          <w:szCs w:val="32"/>
          <w:highlight w:val="none"/>
        </w:rPr>
      </w:pPr>
      <w:r>
        <w:rPr>
          <w:rFonts w:hint="eastAsia" w:ascii="宋体" w:hAnsi="宋体" w:cs="宋体"/>
          <w:b/>
          <w:bCs/>
          <w:kern w:val="0"/>
          <w:sz w:val="32"/>
          <w:szCs w:val="32"/>
          <w:highlight w:val="none"/>
        </w:rPr>
        <w:t>项目名称 ：</w:t>
      </w:r>
      <w:r>
        <w:rPr>
          <w:rFonts w:hint="eastAsia" w:ascii="宋体" w:hAnsi="宋体" w:cs="宋体"/>
          <w:b/>
          <w:bCs/>
          <w:kern w:val="0"/>
          <w:sz w:val="32"/>
          <w:szCs w:val="32"/>
          <w:highlight w:val="none"/>
          <w:u w:val="single"/>
        </w:rPr>
        <w:t>          </w:t>
      </w:r>
    </w:p>
    <w:p w14:paraId="14D8D212">
      <w:pPr>
        <w:widowControl/>
        <w:shd w:val="clear" w:color="auto" w:fill="FFFFFF"/>
        <w:spacing w:line="360" w:lineRule="auto"/>
        <w:ind w:firstLine="1918"/>
        <w:outlineLvl w:val="9"/>
        <w:rPr>
          <w:rFonts w:hint="eastAsia" w:ascii="宋体" w:hAnsi="宋体" w:cs="宋体"/>
          <w:kern w:val="0"/>
          <w:sz w:val="32"/>
          <w:szCs w:val="32"/>
          <w:highlight w:val="none"/>
        </w:rPr>
      </w:pPr>
      <w:r>
        <w:rPr>
          <w:rFonts w:hint="eastAsia" w:ascii="宋体" w:hAnsi="宋体" w:cs="宋体"/>
          <w:b/>
          <w:bCs/>
          <w:kern w:val="0"/>
          <w:sz w:val="32"/>
          <w:szCs w:val="32"/>
          <w:highlight w:val="none"/>
        </w:rPr>
        <w:t>使用单位 ：</w:t>
      </w:r>
      <w:r>
        <w:rPr>
          <w:rFonts w:hint="eastAsia" w:ascii="宋体" w:hAnsi="宋体" w:cs="宋体"/>
          <w:b/>
          <w:bCs/>
          <w:kern w:val="0"/>
          <w:sz w:val="32"/>
          <w:szCs w:val="32"/>
          <w:highlight w:val="none"/>
          <w:u w:val="single"/>
        </w:rPr>
        <w:t>          </w:t>
      </w:r>
    </w:p>
    <w:p w14:paraId="6CFE08F5">
      <w:pPr>
        <w:widowControl/>
        <w:shd w:val="clear" w:color="auto" w:fill="FFFFFF"/>
        <w:spacing w:line="360" w:lineRule="auto"/>
        <w:ind w:firstLine="1916"/>
        <w:outlineLvl w:val="9"/>
        <w:rPr>
          <w:rFonts w:hint="eastAsia" w:ascii="宋体" w:hAnsi="宋体" w:cs="宋体"/>
          <w:kern w:val="0"/>
          <w:sz w:val="32"/>
          <w:szCs w:val="32"/>
          <w:highlight w:val="none"/>
        </w:rPr>
      </w:pPr>
      <w:r>
        <w:rPr>
          <w:rFonts w:hint="eastAsia" w:ascii="宋体" w:hAnsi="宋体" w:cs="宋体"/>
          <w:b/>
          <w:bCs/>
          <w:kern w:val="0"/>
          <w:sz w:val="32"/>
          <w:szCs w:val="32"/>
          <w:highlight w:val="none"/>
          <w:lang w:val="en-US" w:eastAsia="zh-CN"/>
        </w:rPr>
        <w:t>服务</w:t>
      </w:r>
      <w:r>
        <w:rPr>
          <w:rFonts w:hint="eastAsia" w:ascii="宋体" w:hAnsi="宋体" w:cs="宋体"/>
          <w:b/>
          <w:bCs/>
          <w:kern w:val="0"/>
          <w:sz w:val="32"/>
          <w:szCs w:val="32"/>
          <w:highlight w:val="none"/>
        </w:rPr>
        <w:t>单位 ：</w:t>
      </w:r>
      <w:r>
        <w:rPr>
          <w:rFonts w:hint="eastAsia" w:ascii="宋体" w:hAnsi="宋体" w:cs="宋体"/>
          <w:b/>
          <w:bCs/>
          <w:kern w:val="0"/>
          <w:sz w:val="32"/>
          <w:szCs w:val="32"/>
          <w:highlight w:val="none"/>
          <w:u w:val="single"/>
        </w:rPr>
        <w:t>          </w:t>
      </w:r>
    </w:p>
    <w:p w14:paraId="399D80C3">
      <w:pPr>
        <w:widowControl/>
        <w:shd w:val="clear" w:color="auto" w:fill="FFFFFF"/>
        <w:spacing w:line="360" w:lineRule="auto"/>
        <w:ind w:firstLine="1928" w:firstLineChars="600"/>
        <w:outlineLvl w:val="9"/>
        <w:rPr>
          <w:rFonts w:hint="eastAsia" w:ascii="宋体" w:hAnsi="宋体" w:cs="宋体"/>
          <w:kern w:val="0"/>
          <w:highlight w:val="none"/>
        </w:rPr>
      </w:pPr>
      <w:r>
        <w:rPr>
          <w:rFonts w:hint="eastAsia" w:ascii="宋体" w:hAnsi="宋体" w:cs="宋体"/>
          <w:b/>
          <w:bCs/>
          <w:kern w:val="0"/>
          <w:sz w:val="32"/>
          <w:szCs w:val="32"/>
          <w:highlight w:val="none"/>
        </w:rPr>
        <w:t>签订日期 ：</w:t>
      </w:r>
      <w:r>
        <w:rPr>
          <w:rFonts w:hint="eastAsia" w:ascii="宋体" w:hAnsi="宋体" w:cs="宋体"/>
          <w:b/>
          <w:bCs/>
          <w:kern w:val="0"/>
          <w:sz w:val="32"/>
          <w:szCs w:val="32"/>
          <w:highlight w:val="none"/>
          <w:u w:val="single"/>
        </w:rPr>
        <w:t>          </w:t>
      </w:r>
    </w:p>
    <w:p w14:paraId="3B625492">
      <w:pPr>
        <w:rPr>
          <w:rFonts w:hint="eastAsia" w:ascii="宋体" w:hAnsi="宋体" w:cs="宋体"/>
          <w:kern w:val="0"/>
          <w:highlight w:val="none"/>
        </w:rPr>
      </w:pPr>
      <w:r>
        <w:rPr>
          <w:rFonts w:hint="eastAsia" w:ascii="宋体" w:hAnsi="宋体" w:cs="宋体"/>
          <w:kern w:val="0"/>
          <w:highlight w:val="none"/>
        </w:rPr>
        <w:br w:type="page"/>
      </w:r>
    </w:p>
    <w:p w14:paraId="679BF178">
      <w:pPr>
        <w:widowControl/>
        <w:shd w:val="clear" w:color="auto" w:fill="FFFFFF"/>
        <w:spacing w:line="360" w:lineRule="auto"/>
        <w:ind w:left="0" w:leftChars="0"/>
        <w:jc w:val="left"/>
        <w:rPr>
          <w:rFonts w:ascii="宋体" w:hAnsi="宋体" w:cs="宋体"/>
          <w:kern w:val="0"/>
          <w:highlight w:val="none"/>
        </w:rPr>
      </w:pPr>
      <w:r>
        <w:rPr>
          <w:rFonts w:hint="eastAsia" w:ascii="宋体" w:hAnsi="宋体" w:cs="宋体"/>
          <w:kern w:val="0"/>
          <w:highlight w:val="none"/>
          <w:lang w:val="en-US" w:eastAsia="zh-CN"/>
        </w:rPr>
        <w:t>项目名称：            项目</w:t>
      </w:r>
      <w:r>
        <w:rPr>
          <w:rFonts w:hint="eastAsia" w:ascii="宋体" w:hAnsi="宋体" w:cs="宋体"/>
          <w:kern w:val="0"/>
          <w:highlight w:val="none"/>
        </w:rPr>
        <w:t>编号：</w:t>
      </w:r>
    </w:p>
    <w:tbl>
      <w:tblPr>
        <w:tblStyle w:val="46"/>
        <w:tblW w:w="0" w:type="auto"/>
        <w:tblInd w:w="108" w:type="dxa"/>
        <w:tblLayout w:type="fixed"/>
        <w:tblCellMar>
          <w:top w:w="0" w:type="dxa"/>
          <w:left w:w="0" w:type="dxa"/>
          <w:bottom w:w="0" w:type="dxa"/>
          <w:right w:w="0" w:type="dxa"/>
        </w:tblCellMar>
      </w:tblPr>
      <w:tblGrid>
        <w:gridCol w:w="6022"/>
      </w:tblGrid>
      <w:tr w14:paraId="520C30E3">
        <w:tblPrEx>
          <w:tblCellMar>
            <w:top w:w="0" w:type="dxa"/>
            <w:left w:w="0" w:type="dxa"/>
            <w:bottom w:w="0" w:type="dxa"/>
            <w:right w:w="0" w:type="dxa"/>
          </w:tblCellMar>
        </w:tblPrEx>
        <w:tc>
          <w:tcPr>
            <w:tcW w:w="6022" w:type="dxa"/>
            <w:tcBorders>
              <w:top w:val="nil"/>
              <w:left w:val="nil"/>
              <w:bottom w:val="nil"/>
              <w:right w:val="nil"/>
            </w:tcBorders>
            <w:shd w:val="clear" w:color="auto" w:fill="FFFFFF"/>
            <w:tcMar>
              <w:top w:w="0" w:type="dxa"/>
              <w:left w:w="108" w:type="dxa"/>
              <w:bottom w:w="0" w:type="dxa"/>
              <w:right w:w="108" w:type="dxa"/>
            </w:tcMar>
          </w:tcPr>
          <w:p w14:paraId="59DE6A54">
            <w:pPr>
              <w:widowControl/>
              <w:spacing w:line="360" w:lineRule="auto"/>
              <w:jc w:val="left"/>
              <w:rPr>
                <w:rFonts w:ascii="宋体" w:hAnsi="宋体" w:cs="宋体"/>
                <w:kern w:val="0"/>
                <w:highlight w:val="none"/>
              </w:rPr>
            </w:pPr>
            <w:r>
              <w:rPr>
                <w:rFonts w:hint="eastAsia" w:ascii="宋体" w:hAnsi="宋体" w:cs="宋体"/>
                <w:kern w:val="0"/>
                <w:highlight w:val="none"/>
              </w:rPr>
              <w:t>甲方：南京市浦口区市场监督管理局</w:t>
            </w:r>
          </w:p>
        </w:tc>
      </w:tr>
      <w:tr w14:paraId="5B63AA20">
        <w:tblPrEx>
          <w:tblCellMar>
            <w:top w:w="0" w:type="dxa"/>
            <w:left w:w="0" w:type="dxa"/>
            <w:bottom w:w="0" w:type="dxa"/>
            <w:right w:w="0" w:type="dxa"/>
          </w:tblCellMar>
        </w:tblPrEx>
        <w:tc>
          <w:tcPr>
            <w:tcW w:w="6022" w:type="dxa"/>
            <w:tcBorders>
              <w:top w:val="nil"/>
              <w:left w:val="nil"/>
              <w:bottom w:val="nil"/>
              <w:right w:val="nil"/>
            </w:tcBorders>
            <w:shd w:val="clear" w:color="auto" w:fill="FFFFFF"/>
            <w:tcMar>
              <w:top w:w="0" w:type="dxa"/>
              <w:left w:w="108" w:type="dxa"/>
              <w:bottom w:w="0" w:type="dxa"/>
              <w:right w:w="108" w:type="dxa"/>
            </w:tcMar>
          </w:tcPr>
          <w:p w14:paraId="6E7718A4">
            <w:pPr>
              <w:widowControl/>
              <w:spacing w:line="360" w:lineRule="auto"/>
              <w:jc w:val="left"/>
              <w:rPr>
                <w:rFonts w:ascii="宋体" w:hAnsi="宋体" w:cs="宋体"/>
                <w:kern w:val="0"/>
                <w:highlight w:val="none"/>
              </w:rPr>
            </w:pPr>
            <w:r>
              <w:rPr>
                <w:rFonts w:hint="eastAsia" w:ascii="宋体" w:hAnsi="宋体" w:cs="宋体"/>
                <w:kern w:val="0"/>
                <w:highlight w:val="none"/>
                <w:lang w:val="en-US" w:eastAsia="zh-CN"/>
              </w:rPr>
              <w:t>乙</w:t>
            </w:r>
            <w:r>
              <w:rPr>
                <w:rFonts w:hint="eastAsia" w:ascii="宋体" w:hAnsi="宋体" w:cs="宋体"/>
                <w:kern w:val="0"/>
                <w:highlight w:val="none"/>
              </w:rPr>
              <w:t>方：</w:t>
            </w:r>
          </w:p>
        </w:tc>
      </w:tr>
    </w:tbl>
    <w:p w14:paraId="670AFF4B">
      <w:pPr>
        <w:spacing w:line="360" w:lineRule="auto"/>
        <w:ind w:firstLine="420" w:firstLineChars="200"/>
        <w:outlineLvl w:val="9"/>
        <w:rPr>
          <w:rFonts w:ascii="宋体" w:hAnsi="宋体" w:cs="宋体"/>
          <w:bCs/>
          <w:szCs w:val="21"/>
          <w:highlight w:val="none"/>
        </w:rPr>
      </w:pPr>
      <w:r>
        <w:rPr>
          <w:rFonts w:hint="eastAsia" w:ascii="宋体" w:hAnsi="宋体" w:cs="宋体"/>
          <w:bCs/>
          <w:szCs w:val="21"/>
          <w:highlight w:val="none"/>
        </w:rPr>
        <w:t>甲乙双方根据</w:t>
      </w:r>
      <w:r>
        <w:rPr>
          <w:rFonts w:hint="eastAsia" w:ascii="宋体" w:hAnsi="宋体" w:cs="宋体"/>
          <w:bCs/>
          <w:szCs w:val="21"/>
          <w:highlight w:val="none"/>
          <w:u w:val="single"/>
        </w:rPr>
        <w:t>202</w:t>
      </w:r>
      <w:r>
        <w:rPr>
          <w:rFonts w:hint="eastAsia" w:ascii="宋体" w:hAnsi="宋体" w:cs="宋体"/>
          <w:bCs/>
          <w:szCs w:val="21"/>
          <w:highlight w:val="none"/>
          <w:u w:val="single"/>
          <w:lang w:val="en-US" w:eastAsia="zh-CN"/>
        </w:rPr>
        <w:t>6</w:t>
      </w:r>
      <w:r>
        <w:rPr>
          <w:rFonts w:hint="eastAsia" w:ascii="宋体" w:hAnsi="宋体" w:cs="宋体"/>
          <w:bCs/>
          <w:szCs w:val="21"/>
          <w:highlight w:val="none"/>
          <w:u w:val="single"/>
        </w:rPr>
        <w:t>年</w:t>
      </w:r>
      <w:r>
        <w:rPr>
          <w:rFonts w:hint="eastAsia" w:ascii="宋体" w:hAnsi="宋体" w:cs="宋体"/>
          <w:bCs/>
          <w:szCs w:val="21"/>
          <w:highlight w:val="none"/>
          <w:u w:val="single"/>
          <w:lang w:val="en-US" w:eastAsia="zh-CN"/>
        </w:rPr>
        <w:t xml:space="preserve">    </w:t>
      </w:r>
      <w:r>
        <w:rPr>
          <w:rFonts w:hint="eastAsia" w:ascii="宋体" w:hAnsi="宋体" w:cs="宋体"/>
          <w:bCs/>
          <w:szCs w:val="21"/>
          <w:highlight w:val="none"/>
          <w:u w:val="single"/>
        </w:rPr>
        <w:t>月</w:t>
      </w:r>
      <w:r>
        <w:rPr>
          <w:rFonts w:hint="eastAsia" w:ascii="宋体" w:hAnsi="宋体" w:cs="宋体"/>
          <w:bCs/>
          <w:szCs w:val="21"/>
          <w:highlight w:val="none"/>
          <w:u w:val="single"/>
          <w:lang w:val="en-US" w:eastAsia="zh-CN"/>
        </w:rPr>
        <w:t xml:space="preserve">      </w:t>
      </w:r>
      <w:r>
        <w:rPr>
          <w:rFonts w:hint="eastAsia" w:ascii="宋体" w:hAnsi="宋体" w:cs="宋体"/>
          <w:bCs/>
          <w:szCs w:val="21"/>
          <w:highlight w:val="none"/>
          <w:u w:val="single"/>
        </w:rPr>
        <w:t>日</w:t>
      </w:r>
      <w:r>
        <w:rPr>
          <w:rFonts w:hint="eastAsia" w:ascii="宋体" w:hAnsi="宋体" w:cs="宋体"/>
          <w:bCs/>
          <w:szCs w:val="21"/>
          <w:highlight w:val="none"/>
          <w:u w:val="single"/>
          <w:lang w:eastAsia="zh-CN"/>
        </w:rPr>
        <w:t>（</w:t>
      </w:r>
      <w:r>
        <w:rPr>
          <w:rFonts w:hint="eastAsia" w:ascii="宋体" w:hAnsi="宋体" w:cs="宋体"/>
          <w:bCs/>
          <w:szCs w:val="21"/>
          <w:highlight w:val="none"/>
          <w:u w:val="none"/>
        </w:rPr>
        <w:t>政府采购编号</w:t>
      </w:r>
      <w:r>
        <w:rPr>
          <w:rFonts w:hint="eastAsia" w:ascii="宋体" w:hAnsi="宋体" w:cs="宋体"/>
          <w:bCs/>
          <w:szCs w:val="21"/>
          <w:highlight w:val="none"/>
          <w:u w:val="none"/>
          <w:lang w:eastAsia="zh-CN"/>
        </w:rPr>
        <w:t>：</w:t>
      </w:r>
      <w:r>
        <w:rPr>
          <w:rFonts w:hint="eastAsia" w:ascii="宋体" w:hAnsi="宋体" w:cs="宋体"/>
          <w:bCs/>
          <w:szCs w:val="21"/>
          <w:highlight w:val="none"/>
          <w:u w:val="single"/>
          <w:lang w:val="en-US" w:eastAsia="zh-CN"/>
        </w:rPr>
        <w:t xml:space="preserve">             ）2026年浦口区市场监管局农贸市场和商超快检室食品安全快速检测及相关服务项目</w:t>
      </w:r>
      <w:r>
        <w:rPr>
          <w:rFonts w:hint="eastAsia" w:ascii="宋体" w:hAnsi="宋体" w:cs="宋体"/>
          <w:bCs/>
          <w:szCs w:val="21"/>
          <w:highlight w:val="none"/>
        </w:rPr>
        <w:t>公开招标采购结果及采购文件的要求</w:t>
      </w:r>
      <w:r>
        <w:rPr>
          <w:rFonts w:hint="eastAsia" w:ascii="宋体" w:hAnsi="宋体" w:cs="宋体"/>
          <w:bCs/>
          <w:szCs w:val="21"/>
          <w:highlight w:val="none"/>
          <w:lang w:eastAsia="zh-CN"/>
        </w:rPr>
        <w:t>，</w:t>
      </w:r>
      <w:r>
        <w:rPr>
          <w:rFonts w:hint="eastAsia" w:ascii="宋体" w:hAnsi="宋体" w:cs="宋体"/>
          <w:bCs/>
          <w:szCs w:val="21"/>
          <w:highlight w:val="none"/>
        </w:rPr>
        <w:t>经协商一致</w:t>
      </w:r>
      <w:r>
        <w:rPr>
          <w:rFonts w:hint="eastAsia" w:ascii="宋体" w:hAnsi="宋体" w:cs="宋体"/>
          <w:bCs/>
          <w:szCs w:val="21"/>
          <w:highlight w:val="none"/>
          <w:lang w:eastAsia="zh-CN"/>
        </w:rPr>
        <w:t>，</w:t>
      </w:r>
      <w:r>
        <w:rPr>
          <w:rFonts w:hint="eastAsia" w:ascii="宋体" w:hAnsi="宋体" w:cs="宋体"/>
          <w:bCs/>
          <w:szCs w:val="21"/>
          <w:highlight w:val="none"/>
        </w:rPr>
        <w:t>达成如</w:t>
      </w:r>
      <w:r>
        <w:rPr>
          <w:rFonts w:hint="eastAsia" w:ascii="宋体" w:hAnsi="宋体" w:cs="宋体"/>
          <w:bCs/>
          <w:szCs w:val="21"/>
          <w:highlight w:val="none"/>
          <w:lang w:val="en-US" w:eastAsia="zh-CN"/>
        </w:rPr>
        <w:t>下合</w:t>
      </w:r>
      <w:r>
        <w:rPr>
          <w:rFonts w:hint="eastAsia" w:ascii="宋体" w:hAnsi="宋体" w:cs="宋体"/>
          <w:bCs/>
          <w:szCs w:val="21"/>
          <w:highlight w:val="none"/>
        </w:rPr>
        <w:t>同。</w:t>
      </w:r>
    </w:p>
    <w:p w14:paraId="4E5B7DDD">
      <w:pPr>
        <w:widowControl/>
        <w:shd w:val="clear" w:color="auto" w:fill="FFFFFF"/>
        <w:spacing w:line="360" w:lineRule="auto"/>
        <w:ind w:firstLine="422"/>
        <w:rPr>
          <w:rFonts w:ascii="宋体" w:hAnsi="宋体"/>
          <w:color w:val="auto"/>
          <w:kern w:val="0"/>
          <w:szCs w:val="21"/>
          <w:highlight w:val="none"/>
        </w:rPr>
      </w:pPr>
      <w:r>
        <w:rPr>
          <w:rFonts w:hint="eastAsia" w:ascii="宋体" w:hAnsi="宋体"/>
          <w:b/>
          <w:bCs/>
          <w:color w:val="auto"/>
          <w:kern w:val="0"/>
          <w:highlight w:val="none"/>
        </w:rPr>
        <w:t>第一条合同标的</w:t>
      </w:r>
      <w:r>
        <w:rPr>
          <w:rFonts w:hint="eastAsia" w:ascii="宋体" w:hAnsi="宋体"/>
          <w:color w:val="auto"/>
          <w:kern w:val="0"/>
          <w:highlight w:val="none"/>
        </w:rPr>
        <w:t xml:space="preserve"> </w:t>
      </w:r>
    </w:p>
    <w:p w14:paraId="5C59F5ED">
      <w:pPr>
        <w:widowControl/>
        <w:shd w:val="clear" w:color="auto" w:fill="FFFFFF"/>
        <w:spacing w:line="360" w:lineRule="auto"/>
        <w:ind w:firstLine="422"/>
        <w:rPr>
          <w:rFonts w:hint="eastAsia" w:ascii="宋体" w:hAnsi="宋体" w:eastAsia="宋体" w:cs="宋体"/>
          <w:szCs w:val="21"/>
        </w:rPr>
      </w:pPr>
      <w:r>
        <w:rPr>
          <w:rFonts w:hint="eastAsia" w:ascii="宋体" w:hAnsi="宋体" w:eastAsia="宋体" w:cs="宋体"/>
          <w:szCs w:val="21"/>
        </w:rPr>
        <w:t>乙方根据甲方要求提供下列服务：</w:t>
      </w:r>
      <w:r>
        <w:rPr>
          <w:rFonts w:hint="eastAsia" w:ascii="宋体" w:hAnsi="宋体" w:eastAsia="宋体" w:cs="宋体"/>
          <w:szCs w:val="21"/>
          <w:u w:val="single"/>
        </w:rPr>
        <w:t>             </w:t>
      </w:r>
    </w:p>
    <w:p w14:paraId="2B874528">
      <w:pPr>
        <w:widowControl/>
        <w:shd w:val="clear" w:color="auto" w:fill="FFFFFF"/>
        <w:spacing w:line="360" w:lineRule="auto"/>
        <w:ind w:firstLine="422"/>
        <w:rPr>
          <w:rFonts w:hint="eastAsia" w:ascii="宋体" w:hAnsi="宋体" w:eastAsia="宋体" w:cs="宋体"/>
          <w:szCs w:val="21"/>
        </w:rPr>
      </w:pPr>
      <w:r>
        <w:rPr>
          <w:rFonts w:hint="eastAsia" w:ascii="宋体" w:hAnsi="宋体" w:eastAsia="宋体" w:cs="宋体"/>
          <w:szCs w:val="21"/>
        </w:rPr>
        <w:t>服务内容详见招标文件及乙方响应性文件等。</w:t>
      </w:r>
    </w:p>
    <w:p w14:paraId="3BE5B7FE">
      <w:pPr>
        <w:widowControl/>
        <w:shd w:val="clear" w:color="auto" w:fill="FFFFFF"/>
        <w:spacing w:line="360" w:lineRule="auto"/>
        <w:ind w:firstLine="420"/>
        <w:jc w:val="left"/>
        <w:rPr>
          <w:rFonts w:ascii="宋体" w:hAnsi="宋体"/>
          <w:color w:val="auto"/>
          <w:kern w:val="0"/>
          <w:highlight w:val="none"/>
        </w:rPr>
      </w:pPr>
      <w:r>
        <w:rPr>
          <w:rFonts w:hint="eastAsia" w:ascii="宋体" w:hAnsi="宋体"/>
          <w:b/>
          <w:bCs/>
          <w:color w:val="auto"/>
          <w:kern w:val="0"/>
          <w:highlight w:val="none"/>
        </w:rPr>
        <w:t>第二条合同价款</w:t>
      </w:r>
      <w:r>
        <w:rPr>
          <w:rFonts w:hint="eastAsia" w:ascii="宋体" w:hAnsi="宋体"/>
          <w:color w:val="auto"/>
          <w:kern w:val="0"/>
          <w:highlight w:val="none"/>
        </w:rPr>
        <w:t xml:space="preserve"> </w:t>
      </w:r>
    </w:p>
    <w:p w14:paraId="666241F2">
      <w:pPr>
        <w:widowControl/>
        <w:shd w:val="clear" w:color="auto" w:fill="FFFFFF"/>
        <w:spacing w:line="360" w:lineRule="auto"/>
        <w:ind w:firstLine="420"/>
        <w:jc w:val="left"/>
        <w:rPr>
          <w:rFonts w:ascii="宋体" w:hAnsi="宋体"/>
          <w:color w:val="auto"/>
          <w:kern w:val="0"/>
          <w:highlight w:val="none"/>
        </w:rPr>
      </w:pPr>
      <w:r>
        <w:rPr>
          <w:rFonts w:hint="eastAsia" w:ascii="宋体" w:hAnsi="宋体" w:eastAsia="宋体" w:cs="宋体"/>
          <w:b w:val="0"/>
          <w:bCs w:val="0"/>
          <w:sz w:val="21"/>
          <w:szCs w:val="21"/>
          <w:highlight w:val="none"/>
          <w:lang w:val="en-US" w:eastAsia="zh-CN"/>
        </w:rPr>
        <w:t>服务期内的合同价款结算，以实际发生数量结合乙方投标所报单价以及各季度考核</w:t>
      </w:r>
      <w:r>
        <w:rPr>
          <w:rFonts w:hint="eastAsia" w:cs="宋体"/>
          <w:b w:val="0"/>
          <w:bCs w:val="0"/>
          <w:sz w:val="21"/>
          <w:szCs w:val="21"/>
          <w:highlight w:val="none"/>
          <w:lang w:val="en-US" w:eastAsia="zh-CN"/>
        </w:rPr>
        <w:t>成绩据</w:t>
      </w:r>
      <w:r>
        <w:rPr>
          <w:rFonts w:hint="eastAsia" w:ascii="宋体" w:hAnsi="宋体" w:eastAsia="宋体" w:cs="宋体"/>
          <w:b w:val="0"/>
          <w:bCs w:val="0"/>
          <w:sz w:val="21"/>
          <w:szCs w:val="21"/>
          <w:highlight w:val="none"/>
          <w:lang w:val="en-US" w:eastAsia="zh-CN"/>
        </w:rPr>
        <w:t>实核算</w:t>
      </w:r>
      <w:r>
        <w:rPr>
          <w:rFonts w:hint="eastAsia" w:ascii="宋体" w:hAnsi="宋体" w:eastAsia="宋体" w:cs="宋体"/>
          <w:bCs/>
          <w:color w:val="000000"/>
          <w:highlight w:val="none"/>
        </w:rPr>
        <w:t>。</w:t>
      </w:r>
    </w:p>
    <w:p w14:paraId="7F1DEDB0">
      <w:pPr>
        <w:widowControl/>
        <w:shd w:val="clear" w:color="auto" w:fill="FFFFFF"/>
        <w:spacing w:line="360" w:lineRule="auto"/>
        <w:ind w:firstLine="413" w:firstLineChars="196"/>
        <w:rPr>
          <w:rFonts w:ascii="宋体" w:hAnsi="宋体"/>
          <w:color w:val="auto"/>
          <w:kern w:val="0"/>
          <w:highlight w:val="none"/>
        </w:rPr>
      </w:pPr>
      <w:r>
        <w:rPr>
          <w:rFonts w:hint="eastAsia" w:ascii="宋体" w:hAnsi="宋体"/>
          <w:b/>
          <w:bCs/>
          <w:color w:val="auto"/>
          <w:kern w:val="0"/>
          <w:highlight w:val="none"/>
        </w:rPr>
        <w:t>第三条 组成本合同的有关文件</w:t>
      </w:r>
      <w:r>
        <w:rPr>
          <w:rFonts w:hint="eastAsia" w:ascii="宋体" w:hAnsi="宋体"/>
          <w:color w:val="auto"/>
          <w:kern w:val="0"/>
          <w:highlight w:val="none"/>
        </w:rPr>
        <w:t xml:space="preserve">  </w:t>
      </w:r>
    </w:p>
    <w:p w14:paraId="65F804CD">
      <w:pPr>
        <w:widowControl/>
        <w:shd w:val="clear" w:color="auto" w:fill="FFFFFF"/>
        <w:spacing w:line="360" w:lineRule="auto"/>
        <w:ind w:firstLine="420"/>
        <w:jc w:val="left"/>
        <w:rPr>
          <w:rFonts w:hint="eastAsia" w:ascii="宋体" w:hAnsi="宋体"/>
          <w:b/>
          <w:bCs/>
          <w:color w:val="auto"/>
          <w:kern w:val="0"/>
          <w:highlight w:val="none"/>
        </w:rPr>
      </w:pPr>
      <w:r>
        <w:rPr>
          <w:rFonts w:hint="eastAsia" w:ascii="宋体" w:hAnsi="宋体" w:eastAsia="宋体" w:cs="宋体"/>
          <w:szCs w:val="21"/>
        </w:rPr>
        <w:t>招标文件和有关附件是本合同不可分割的组成部分，与本合同具有同等法律效力。</w:t>
      </w:r>
    </w:p>
    <w:p w14:paraId="3AE609FA">
      <w:pPr>
        <w:widowControl/>
        <w:shd w:val="clear" w:color="auto" w:fill="FFFFFF"/>
        <w:spacing w:line="360" w:lineRule="auto"/>
        <w:ind w:firstLine="420"/>
        <w:jc w:val="left"/>
        <w:rPr>
          <w:rFonts w:ascii="宋体" w:hAnsi="宋体"/>
          <w:color w:val="auto"/>
          <w:kern w:val="0"/>
          <w:highlight w:val="none"/>
        </w:rPr>
      </w:pPr>
      <w:r>
        <w:rPr>
          <w:rFonts w:hint="eastAsia" w:ascii="宋体" w:hAnsi="宋体"/>
          <w:b/>
          <w:bCs/>
          <w:color w:val="auto"/>
          <w:kern w:val="0"/>
          <w:highlight w:val="none"/>
        </w:rPr>
        <w:t>第四条 权利保证</w:t>
      </w:r>
    </w:p>
    <w:p w14:paraId="17DC4570">
      <w:pPr>
        <w:widowControl/>
        <w:shd w:val="clear" w:color="auto" w:fill="FFFFFF"/>
        <w:spacing w:line="360" w:lineRule="auto"/>
        <w:ind w:firstLine="420"/>
        <w:jc w:val="left"/>
        <w:rPr>
          <w:rFonts w:ascii="宋体" w:hAnsi="宋体"/>
          <w:color w:val="auto"/>
          <w:kern w:val="0"/>
          <w:highlight w:val="none"/>
        </w:rPr>
      </w:pPr>
      <w:r>
        <w:rPr>
          <w:rFonts w:hint="eastAsia" w:ascii="宋体" w:hAnsi="宋体" w:eastAsia="宋体" w:cs="宋体"/>
          <w:lang w:eastAsia="zh-Hans"/>
        </w:rPr>
        <w:t>乙方保证甲方在使用、接受本合同中全部服务或其任何一部分时不受第三方提出侵犯其知识产权的起诉或索赔。一旦出现侵权起诉或索赔，由乙方负责抗辩，并承担甲方维权产生的诉讼费、律师费、差旅费等，给甲方造成其他损失的，全部由乙方承担。</w:t>
      </w:r>
    </w:p>
    <w:p w14:paraId="5A0D9B84">
      <w:pPr>
        <w:widowControl/>
        <w:shd w:val="clear" w:color="auto" w:fill="FFFFFF"/>
        <w:spacing w:line="360" w:lineRule="auto"/>
        <w:ind w:firstLine="420"/>
        <w:jc w:val="left"/>
        <w:rPr>
          <w:rFonts w:ascii="宋体" w:hAnsi="宋体"/>
          <w:color w:val="auto"/>
          <w:kern w:val="0"/>
          <w:highlight w:val="none"/>
        </w:rPr>
      </w:pPr>
      <w:r>
        <w:rPr>
          <w:rFonts w:hint="eastAsia" w:ascii="宋体" w:hAnsi="宋体"/>
          <w:b/>
          <w:bCs/>
          <w:color w:val="auto"/>
          <w:kern w:val="0"/>
          <w:highlight w:val="none"/>
        </w:rPr>
        <w:t>第五条 质量保证</w:t>
      </w:r>
    </w:p>
    <w:p w14:paraId="4FBE90AA">
      <w:pPr>
        <w:widowControl/>
        <w:shd w:val="clear" w:color="auto" w:fill="FFFFFF"/>
        <w:spacing w:line="360" w:lineRule="auto"/>
        <w:ind w:firstLine="420"/>
        <w:jc w:val="left"/>
        <w:rPr>
          <w:rFonts w:ascii="宋体" w:hAnsi="宋体"/>
          <w:color w:val="auto"/>
          <w:kern w:val="0"/>
          <w:highlight w:val="none"/>
        </w:rPr>
      </w:pPr>
      <w:r>
        <w:rPr>
          <w:rFonts w:hint="eastAsia" w:ascii="宋体" w:hAnsi="宋体" w:eastAsia="宋体" w:cs="宋体"/>
          <w:szCs w:val="21"/>
        </w:rPr>
        <w:t>乙方提供的服务必须全部达到采购文件各项要求，国家或行业有规定的，还要符合相应规定。如合同实际履行中，国家法律法规、相应的标准规范等作出更严格的限制，乙方应根据变更后的对应要求提供检测服务，如国家法律法规、相应的标准规范作出更加宽松的变化，甲方有权利要求乙方按照本合同约定时的相关标准要求乙方提供服务。</w:t>
      </w:r>
    </w:p>
    <w:p w14:paraId="13DA489C">
      <w:pPr>
        <w:widowControl/>
        <w:shd w:val="clear" w:color="auto" w:fill="FFFFFF"/>
        <w:spacing w:line="360" w:lineRule="auto"/>
        <w:ind w:firstLine="420"/>
        <w:jc w:val="left"/>
        <w:rPr>
          <w:rFonts w:ascii="宋体" w:hAnsi="宋体"/>
          <w:color w:val="auto"/>
          <w:kern w:val="0"/>
          <w:highlight w:val="none"/>
        </w:rPr>
      </w:pPr>
      <w:r>
        <w:rPr>
          <w:rFonts w:hint="eastAsia" w:ascii="宋体" w:hAnsi="宋体"/>
          <w:b/>
          <w:bCs/>
          <w:color w:val="auto"/>
          <w:kern w:val="0"/>
          <w:highlight w:val="none"/>
        </w:rPr>
        <w:t>第六条 交付使用和验收</w:t>
      </w:r>
    </w:p>
    <w:p w14:paraId="72C65884">
      <w:pPr>
        <w:widowControl/>
        <w:shd w:val="clear" w:color="auto" w:fill="FFFFFF"/>
        <w:spacing w:line="360" w:lineRule="auto"/>
        <w:ind w:firstLine="420"/>
        <w:jc w:val="left"/>
        <w:rPr>
          <w:rFonts w:ascii="宋体" w:hAnsi="宋体"/>
          <w:color w:val="auto"/>
          <w:kern w:val="0"/>
          <w:highlight w:val="none"/>
        </w:rPr>
      </w:pPr>
      <w:r>
        <w:rPr>
          <w:rFonts w:hint="eastAsia" w:ascii="宋体" w:hAnsi="宋体"/>
          <w:color w:val="auto"/>
          <w:kern w:val="0"/>
          <w:highlight w:val="none"/>
        </w:rPr>
        <w:t>1、服务期限：自   年   月   日至   年   月   日。</w:t>
      </w:r>
    </w:p>
    <w:p w14:paraId="608023B6">
      <w:pPr>
        <w:widowControl/>
        <w:shd w:val="clear" w:color="auto" w:fill="FFFFFF"/>
        <w:spacing w:line="360" w:lineRule="auto"/>
        <w:ind w:firstLine="420"/>
        <w:jc w:val="left"/>
        <w:rPr>
          <w:rFonts w:hint="eastAsia" w:ascii="宋体" w:hAnsi="宋体" w:eastAsia="宋体" w:cs="Times New Roman"/>
          <w:color w:val="auto"/>
          <w:kern w:val="0"/>
          <w:highlight w:val="none"/>
        </w:rPr>
      </w:pPr>
      <w:r>
        <w:rPr>
          <w:rFonts w:hint="eastAsia" w:ascii="宋体" w:hAnsi="宋体" w:eastAsia="宋体" w:cs="Times New Roman"/>
          <w:color w:val="auto"/>
          <w:kern w:val="0"/>
          <w:highlight w:val="none"/>
        </w:rPr>
        <w:t>2、验收标准：按采购文件、乙方投标文件</w:t>
      </w:r>
      <w:r>
        <w:rPr>
          <w:rFonts w:hint="eastAsia" w:ascii="宋体" w:hAnsi="宋体" w:eastAsia="宋体" w:cs="Times New Roman"/>
          <w:color w:val="auto"/>
          <w:kern w:val="0"/>
          <w:highlight w:val="none"/>
          <w:lang w:val="en-US" w:eastAsia="zh-CN"/>
        </w:rPr>
        <w:t>承诺</w:t>
      </w:r>
      <w:r>
        <w:rPr>
          <w:rFonts w:hint="eastAsia" w:ascii="宋体" w:hAnsi="宋体" w:eastAsia="宋体" w:cs="Times New Roman"/>
          <w:color w:val="auto"/>
          <w:kern w:val="0"/>
          <w:highlight w:val="none"/>
        </w:rPr>
        <w:t>、国家及行业现行有效标准、甲方考核要求和实际服务完成情况进行验收；前述标准不一致的，以要求较高者为准。验收不合格的，甲方有权要求乙方限期整改、拒绝验收、暂缓付款或者追究违约责任。</w:t>
      </w:r>
    </w:p>
    <w:p w14:paraId="00A7878F">
      <w:pPr>
        <w:widowControl/>
        <w:shd w:val="clear" w:color="auto" w:fill="FFFFFF"/>
        <w:spacing w:line="360" w:lineRule="auto"/>
        <w:ind w:firstLine="420"/>
        <w:jc w:val="left"/>
        <w:rPr>
          <w:rFonts w:hint="eastAsia" w:ascii="宋体" w:hAnsi="宋体" w:eastAsia="宋体" w:cs="宋体"/>
          <w:szCs w:val="21"/>
        </w:rPr>
      </w:pPr>
      <w:r>
        <w:rPr>
          <w:rFonts w:hint="eastAsia" w:ascii="宋体" w:hAnsi="宋体"/>
          <w:b/>
          <w:bCs/>
          <w:color w:val="auto"/>
          <w:kern w:val="0"/>
          <w:highlight w:val="none"/>
        </w:rPr>
        <w:t xml:space="preserve">第七条 </w:t>
      </w:r>
      <w:r>
        <w:rPr>
          <w:rFonts w:hint="eastAsia" w:ascii="宋体" w:hAnsi="宋体" w:eastAsia="宋体" w:cs="宋体"/>
          <w:b/>
          <w:bCs/>
          <w:color w:val="000000"/>
          <w:szCs w:val="21"/>
        </w:rPr>
        <w:t>供应商考核管理</w:t>
      </w:r>
    </w:p>
    <w:p w14:paraId="06B4FC91">
      <w:pPr>
        <w:widowControl/>
        <w:shd w:val="clear" w:color="auto" w:fill="FFFFFF"/>
        <w:spacing w:line="360" w:lineRule="auto"/>
        <w:ind w:firstLine="420"/>
        <w:jc w:val="left"/>
        <w:rPr>
          <w:rFonts w:hint="eastAsia" w:ascii="宋体" w:hAnsi="宋体" w:eastAsia="宋体" w:cs="宋体"/>
          <w:b w:val="0"/>
          <w:sz w:val="21"/>
          <w:szCs w:val="21"/>
          <w:lang w:val="en-US" w:eastAsia="zh-CN"/>
        </w:rPr>
      </w:pPr>
      <w:r>
        <w:rPr>
          <w:rFonts w:hint="eastAsia" w:ascii="宋体" w:hAnsi="宋体" w:eastAsia="宋体" w:cs="宋体"/>
          <w:b w:val="0"/>
          <w:sz w:val="21"/>
          <w:szCs w:val="21"/>
          <w:lang w:val="en-US" w:eastAsia="zh-CN"/>
        </w:rPr>
        <w:t>1、考核办法</w:t>
      </w:r>
    </w:p>
    <w:p w14:paraId="42A48AB1">
      <w:pPr>
        <w:pStyle w:val="253"/>
        <w:numPr>
          <w:ilvl w:val="0"/>
          <w:numId w:val="0"/>
        </w:numPr>
        <w:spacing w:line="360" w:lineRule="auto"/>
        <w:ind w:firstLine="420" w:firstLineChars="200"/>
        <w:rPr>
          <w:rFonts w:hint="eastAsia" w:ascii="宋体" w:hAnsi="宋体" w:eastAsia="宋体" w:cs="宋体"/>
          <w:b w:val="0"/>
          <w:sz w:val="21"/>
          <w:szCs w:val="21"/>
          <w:lang w:val="en-US" w:eastAsia="zh-CN"/>
        </w:rPr>
      </w:pPr>
      <w:r>
        <w:rPr>
          <w:rFonts w:hint="eastAsia" w:cs="宋体"/>
          <w:b w:val="0"/>
          <w:sz w:val="21"/>
          <w:szCs w:val="21"/>
          <w:lang w:val="en-US" w:eastAsia="zh-CN"/>
        </w:rPr>
        <w:t>甲方</w:t>
      </w:r>
      <w:r>
        <w:rPr>
          <w:rFonts w:hint="eastAsia" w:ascii="宋体" w:hAnsi="宋体" w:eastAsia="宋体" w:cs="宋体"/>
          <w:b w:val="0"/>
          <w:sz w:val="21"/>
          <w:szCs w:val="21"/>
          <w:lang w:val="en-US" w:eastAsia="zh-CN"/>
        </w:rPr>
        <w:t>按照《</w:t>
      </w:r>
      <w:r>
        <w:rPr>
          <w:rFonts w:hint="eastAsia" w:cs="宋体"/>
          <w:b w:val="0"/>
          <w:sz w:val="21"/>
          <w:szCs w:val="21"/>
          <w:lang w:val="en-US" w:eastAsia="zh-CN"/>
        </w:rPr>
        <w:t>江北新</w:t>
      </w:r>
      <w:r>
        <w:rPr>
          <w:rFonts w:hint="eastAsia" w:ascii="宋体" w:hAnsi="宋体" w:eastAsia="宋体" w:cs="宋体"/>
          <w:b w:val="0"/>
          <w:sz w:val="21"/>
          <w:szCs w:val="21"/>
          <w:lang w:val="en-US" w:eastAsia="zh-CN"/>
        </w:rPr>
        <w:t>区食品安全快速检测运行维护</w:t>
      </w:r>
      <w:r>
        <w:rPr>
          <w:rFonts w:hint="eastAsia" w:cs="宋体"/>
          <w:b w:val="0"/>
          <w:sz w:val="21"/>
          <w:szCs w:val="21"/>
          <w:lang w:val="en-US" w:eastAsia="zh-CN"/>
        </w:rPr>
        <w:t>考核方案</w:t>
      </w:r>
      <w:r>
        <w:rPr>
          <w:rFonts w:hint="eastAsia" w:ascii="宋体" w:hAnsi="宋体" w:eastAsia="宋体" w:cs="宋体"/>
          <w:b w:val="0"/>
          <w:sz w:val="21"/>
          <w:szCs w:val="21"/>
          <w:lang w:val="en-US" w:eastAsia="zh-CN"/>
        </w:rPr>
        <w:t>》对</w:t>
      </w:r>
      <w:r>
        <w:rPr>
          <w:rFonts w:hint="eastAsia" w:cs="宋体"/>
          <w:b w:val="0"/>
          <w:sz w:val="21"/>
          <w:szCs w:val="21"/>
          <w:lang w:val="en-US" w:eastAsia="zh-CN"/>
        </w:rPr>
        <w:t>乙方</w:t>
      </w:r>
      <w:r>
        <w:rPr>
          <w:rFonts w:hint="eastAsia" w:ascii="宋体" w:hAnsi="宋体" w:eastAsia="宋体" w:cs="宋体"/>
          <w:b w:val="0"/>
          <w:sz w:val="21"/>
          <w:szCs w:val="21"/>
          <w:lang w:val="en-US" w:eastAsia="zh-CN"/>
        </w:rPr>
        <w:t>进行考核。</w:t>
      </w:r>
    </w:p>
    <w:p w14:paraId="4125E56C">
      <w:pPr>
        <w:widowControl/>
        <w:shd w:val="clear" w:color="auto" w:fill="FFFFFF"/>
        <w:spacing w:line="360" w:lineRule="auto"/>
        <w:ind w:firstLine="420"/>
        <w:jc w:val="left"/>
        <w:rPr>
          <w:rFonts w:hint="eastAsia" w:ascii="宋体" w:hAnsi="宋体" w:eastAsia="宋体" w:cs="宋体"/>
          <w:b w:val="0"/>
          <w:sz w:val="21"/>
          <w:szCs w:val="21"/>
          <w:lang w:val="en-US" w:eastAsia="zh-CN"/>
        </w:rPr>
      </w:pPr>
      <w:r>
        <w:rPr>
          <w:rFonts w:hint="eastAsia" w:ascii="宋体" w:hAnsi="宋体" w:eastAsia="宋体" w:cs="宋体"/>
          <w:b w:val="0"/>
          <w:sz w:val="21"/>
          <w:szCs w:val="21"/>
          <w:lang w:val="en-US" w:eastAsia="zh-CN"/>
        </w:rPr>
        <w:t>2、考核方式</w:t>
      </w:r>
    </w:p>
    <w:p w14:paraId="726BF9E3">
      <w:pPr>
        <w:pStyle w:val="253"/>
        <w:keepNext w:val="0"/>
        <w:keepLines w:val="0"/>
        <w:pageBreakBefore w:val="0"/>
        <w:widowControl w:val="0"/>
        <w:numPr>
          <w:ilvl w:val="0"/>
          <w:numId w:val="0"/>
        </w:numPr>
        <w:spacing w:before="0" w:after="0" w:line="360" w:lineRule="auto"/>
        <w:ind w:firstLine="420"/>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依据《</w:t>
      </w:r>
      <w:r>
        <w:rPr>
          <w:rFonts w:hint="eastAsia" w:cs="宋体"/>
          <w:b w:val="0"/>
          <w:sz w:val="21"/>
          <w:szCs w:val="21"/>
          <w:lang w:val="en-US" w:eastAsia="zh-CN"/>
        </w:rPr>
        <w:t>江北新</w:t>
      </w:r>
      <w:r>
        <w:rPr>
          <w:rFonts w:hint="eastAsia" w:ascii="宋体" w:hAnsi="宋体" w:eastAsia="宋体" w:cs="宋体"/>
          <w:b w:val="0"/>
          <w:sz w:val="21"/>
          <w:szCs w:val="21"/>
          <w:lang w:val="en-US" w:eastAsia="zh-CN"/>
        </w:rPr>
        <w:t>区食品安全快速检测运行维护</w:t>
      </w:r>
      <w:r>
        <w:rPr>
          <w:rFonts w:hint="eastAsia" w:cs="宋体"/>
          <w:b w:val="0"/>
          <w:sz w:val="21"/>
          <w:szCs w:val="21"/>
          <w:lang w:val="en-US" w:eastAsia="zh-CN"/>
        </w:rPr>
        <w:t>考核方案</w:t>
      </w:r>
      <w:r>
        <w:rPr>
          <w:rFonts w:hint="eastAsia" w:ascii="宋体" w:hAnsi="宋体" w:eastAsia="宋体" w:cs="宋体"/>
          <w:b w:val="0"/>
          <w:bCs w:val="0"/>
          <w:sz w:val="21"/>
          <w:szCs w:val="21"/>
          <w:highlight w:val="none"/>
          <w:lang w:eastAsia="zh-CN"/>
        </w:rPr>
        <w:t>》，按照程序规范、公平公正的原则开展考核，每季度进行一次全覆盖考评打分，采取例行考评和飞行考评相结合的方式，按序时进度组织开展，每月至少覆盖底数的40%。结合日常监管情况，对</w:t>
      </w:r>
      <w:r>
        <w:rPr>
          <w:rFonts w:hint="eastAsia" w:ascii="宋体" w:hAnsi="宋体" w:eastAsia="宋体" w:cs="宋体"/>
          <w:b w:val="0"/>
          <w:bCs w:val="0"/>
          <w:sz w:val="21"/>
          <w:szCs w:val="21"/>
          <w:highlight w:val="none"/>
          <w:lang w:val="en-US" w:eastAsia="zh-CN"/>
        </w:rPr>
        <w:t>乙方</w:t>
      </w:r>
      <w:r>
        <w:rPr>
          <w:rFonts w:hint="eastAsia" w:ascii="宋体" w:hAnsi="宋体" w:eastAsia="宋体" w:cs="宋体"/>
          <w:b w:val="0"/>
          <w:bCs w:val="0"/>
          <w:sz w:val="21"/>
          <w:szCs w:val="21"/>
          <w:highlight w:val="none"/>
          <w:lang w:eastAsia="zh-CN"/>
        </w:rPr>
        <w:t>的检测服务、综合管理服务、增值服务及检测人员等进行考核评价。</w:t>
      </w:r>
    </w:p>
    <w:p w14:paraId="54A7334D">
      <w:pPr>
        <w:widowControl/>
        <w:shd w:val="clear" w:color="auto" w:fill="FFFFFF"/>
        <w:spacing w:line="360" w:lineRule="auto"/>
        <w:ind w:firstLine="420"/>
        <w:jc w:val="left"/>
        <w:rPr>
          <w:rFonts w:hint="eastAsia" w:ascii="宋体" w:hAnsi="宋体" w:eastAsia="宋体" w:cs="宋体"/>
          <w:b w:val="0"/>
          <w:sz w:val="21"/>
          <w:szCs w:val="21"/>
          <w:lang w:val="en-US" w:eastAsia="zh-CN"/>
        </w:rPr>
      </w:pPr>
      <w:r>
        <w:rPr>
          <w:rFonts w:hint="eastAsia" w:ascii="宋体" w:hAnsi="宋体" w:eastAsia="宋体" w:cs="宋体"/>
          <w:b w:val="0"/>
          <w:sz w:val="21"/>
          <w:szCs w:val="21"/>
          <w:lang w:val="en-US" w:eastAsia="zh-CN"/>
        </w:rPr>
        <w:t>3、考核结果应用</w:t>
      </w:r>
    </w:p>
    <w:p w14:paraId="53A1A186">
      <w:pPr>
        <w:pStyle w:val="18"/>
        <w:keepNext w:val="0"/>
        <w:keepLines w:val="0"/>
        <w:pageBreakBefore w:val="0"/>
        <w:widowControl w:val="0"/>
        <w:spacing w:line="360" w:lineRule="auto"/>
        <w:ind w:right="112" w:firstLine="420"/>
        <w:jc w:val="both"/>
        <w:rPr>
          <w:rFonts w:hint="default" w:ascii="Times New Roman" w:hAnsi="Times New Roman" w:eastAsia="宋体" w:cs="Times New Roman"/>
          <w:b w:val="0"/>
          <w:bCs w:val="0"/>
          <w:sz w:val="21"/>
          <w:szCs w:val="21"/>
          <w:highlight w:val="none"/>
          <w:lang w:val="en-US" w:eastAsia="zh-CN" w:bidi="ar-SA"/>
        </w:rPr>
      </w:pPr>
      <w:r>
        <w:rPr>
          <w:rFonts w:hint="default" w:ascii="Times New Roman" w:hAnsi="Times New Roman" w:eastAsia="宋体" w:cs="Times New Roman"/>
          <w:b w:val="0"/>
          <w:bCs w:val="0"/>
          <w:sz w:val="21"/>
          <w:szCs w:val="21"/>
          <w:highlight w:val="none"/>
          <w:lang w:val="en-US" w:eastAsia="zh-CN" w:bidi="ar-SA"/>
        </w:rPr>
        <w:t>（1）快检室季度考核成绩。</w:t>
      </w:r>
      <w:r>
        <w:rPr>
          <w:rFonts w:hint="eastAsia" w:eastAsia="宋体" w:cs="Times New Roman"/>
          <w:b w:val="0"/>
          <w:bCs w:val="0"/>
          <w:sz w:val="21"/>
          <w:szCs w:val="21"/>
          <w:highlight w:val="none"/>
          <w:lang w:val="en-US" w:eastAsia="zh-CN" w:bidi="ar-SA"/>
        </w:rPr>
        <w:t>乙方</w:t>
      </w:r>
      <w:r>
        <w:rPr>
          <w:rFonts w:hint="default" w:ascii="Times New Roman" w:hAnsi="Times New Roman" w:eastAsia="宋体" w:cs="Times New Roman"/>
          <w:b w:val="0"/>
          <w:bCs w:val="0"/>
          <w:sz w:val="21"/>
          <w:szCs w:val="21"/>
          <w:highlight w:val="none"/>
          <w:lang w:val="en-US" w:eastAsia="zh-CN" w:bidi="ar-SA"/>
        </w:rPr>
        <w:t>的季度考核分值与季度费用支付挂钩，当前考核成绩低于95分但不低于90分的，实际支付费用按95%折扣支付；当前考核成绩低于90分但不低于85分的，实际支付费用按90%折扣支付；当前考核成绩低于85分但不低于80分的，实际支付费用按85%折扣支付；考核成绩低于80分的，实际支付费用按80%折扣支付。</w:t>
      </w:r>
    </w:p>
    <w:p w14:paraId="3627DBB3">
      <w:pPr>
        <w:pStyle w:val="18"/>
        <w:keepNext w:val="0"/>
        <w:keepLines w:val="0"/>
        <w:pageBreakBefore w:val="0"/>
        <w:widowControl w:val="0"/>
        <w:spacing w:line="360" w:lineRule="auto"/>
        <w:ind w:right="112" w:firstLine="420"/>
        <w:jc w:val="both"/>
        <w:rPr>
          <w:rFonts w:hint="eastAsia" w:ascii="Times New Roman" w:hAnsi="Times New Roman" w:eastAsia="宋体" w:cs="Times New Roman"/>
          <w:b w:val="0"/>
          <w:bCs w:val="0"/>
          <w:sz w:val="21"/>
          <w:szCs w:val="21"/>
          <w:highlight w:val="none"/>
          <w:lang w:val="en-US" w:eastAsia="zh-CN" w:bidi="ar-SA"/>
        </w:rPr>
      </w:pPr>
      <w:r>
        <w:rPr>
          <w:rFonts w:hint="eastAsia" w:ascii="Times New Roman" w:hAnsi="Times New Roman" w:eastAsia="宋体" w:cs="Times New Roman"/>
          <w:b w:val="0"/>
          <w:bCs w:val="0"/>
          <w:sz w:val="21"/>
          <w:szCs w:val="21"/>
          <w:highlight w:val="none"/>
          <w:lang w:val="en-US" w:eastAsia="zh-CN" w:bidi="ar-SA"/>
        </w:rPr>
        <w:t xml:space="preserve">1）考核成绩≥95分，实际支付费用 = </w:t>
      </w:r>
      <w:r>
        <w:rPr>
          <w:rFonts w:hint="eastAsia" w:eastAsia="宋体" w:cs="Times New Roman"/>
          <w:b w:val="0"/>
          <w:bCs w:val="0"/>
          <w:sz w:val="21"/>
          <w:szCs w:val="21"/>
          <w:highlight w:val="none"/>
          <w:lang w:val="en-US" w:eastAsia="zh-CN" w:bidi="ar-SA"/>
        </w:rPr>
        <w:t>∑</w:t>
      </w:r>
      <w:r>
        <w:rPr>
          <w:rFonts w:hint="eastAsia" w:ascii="Times New Roman" w:hAnsi="Times New Roman" w:eastAsia="宋体" w:cs="Times New Roman"/>
          <w:b w:val="0"/>
          <w:bCs w:val="0"/>
          <w:sz w:val="21"/>
          <w:szCs w:val="21"/>
          <w:highlight w:val="none"/>
          <w:lang w:val="en-US" w:eastAsia="zh-CN" w:bidi="ar-SA"/>
        </w:rPr>
        <w:t>（中标价×按要求完成批次数）；</w:t>
      </w:r>
    </w:p>
    <w:p w14:paraId="10E41FC9">
      <w:pPr>
        <w:pStyle w:val="18"/>
        <w:keepNext w:val="0"/>
        <w:keepLines w:val="0"/>
        <w:pageBreakBefore w:val="0"/>
        <w:widowControl w:val="0"/>
        <w:spacing w:line="360" w:lineRule="auto"/>
        <w:ind w:right="112" w:firstLine="420"/>
        <w:jc w:val="both"/>
        <w:rPr>
          <w:rFonts w:hint="eastAsia" w:ascii="Times New Roman" w:hAnsi="Times New Roman" w:eastAsia="宋体" w:cs="Times New Roman"/>
          <w:b w:val="0"/>
          <w:bCs w:val="0"/>
          <w:sz w:val="21"/>
          <w:szCs w:val="21"/>
          <w:highlight w:val="none"/>
          <w:lang w:val="en-US" w:eastAsia="zh-CN" w:bidi="ar-SA"/>
        </w:rPr>
      </w:pPr>
      <w:r>
        <w:rPr>
          <w:rFonts w:hint="eastAsia" w:ascii="Times New Roman" w:hAnsi="Times New Roman" w:eastAsia="宋体" w:cs="Times New Roman"/>
          <w:b w:val="0"/>
          <w:bCs w:val="0"/>
          <w:sz w:val="21"/>
          <w:szCs w:val="21"/>
          <w:highlight w:val="none"/>
          <w:lang w:val="en-US" w:eastAsia="zh-CN" w:bidi="ar-SA"/>
        </w:rPr>
        <w:t xml:space="preserve">2）90分≤考核成绩＜95分，实际支付费用 = </w:t>
      </w:r>
      <w:r>
        <w:rPr>
          <w:rFonts w:hint="eastAsia" w:eastAsia="宋体" w:cs="Times New Roman"/>
          <w:b w:val="0"/>
          <w:bCs w:val="0"/>
          <w:sz w:val="21"/>
          <w:szCs w:val="21"/>
          <w:highlight w:val="none"/>
          <w:lang w:val="en-US" w:eastAsia="zh-CN" w:bidi="ar-SA"/>
        </w:rPr>
        <w:t>∑</w:t>
      </w:r>
      <w:r>
        <w:rPr>
          <w:rFonts w:hint="eastAsia" w:ascii="Times New Roman" w:hAnsi="Times New Roman" w:eastAsia="宋体" w:cs="Times New Roman"/>
          <w:b w:val="0"/>
          <w:bCs w:val="0"/>
          <w:sz w:val="21"/>
          <w:szCs w:val="21"/>
          <w:highlight w:val="none"/>
          <w:lang w:val="en-US" w:eastAsia="zh-CN" w:bidi="ar-SA"/>
        </w:rPr>
        <w:t>（中标价×按要求完成批次数）×95%；</w:t>
      </w:r>
    </w:p>
    <w:p w14:paraId="1F515D6F">
      <w:pPr>
        <w:pStyle w:val="18"/>
        <w:keepNext w:val="0"/>
        <w:keepLines w:val="0"/>
        <w:pageBreakBefore w:val="0"/>
        <w:widowControl w:val="0"/>
        <w:spacing w:line="360" w:lineRule="auto"/>
        <w:ind w:right="112" w:firstLine="420"/>
        <w:jc w:val="both"/>
        <w:rPr>
          <w:rFonts w:hint="eastAsia" w:ascii="Times New Roman" w:hAnsi="Times New Roman" w:eastAsia="宋体" w:cs="Times New Roman"/>
          <w:b w:val="0"/>
          <w:bCs w:val="0"/>
          <w:sz w:val="21"/>
          <w:szCs w:val="21"/>
          <w:highlight w:val="none"/>
          <w:lang w:val="en-US" w:eastAsia="zh-CN" w:bidi="ar-SA"/>
        </w:rPr>
      </w:pPr>
      <w:r>
        <w:rPr>
          <w:rFonts w:hint="eastAsia" w:ascii="Times New Roman" w:hAnsi="Times New Roman" w:eastAsia="宋体" w:cs="Times New Roman"/>
          <w:b w:val="0"/>
          <w:bCs w:val="0"/>
          <w:sz w:val="21"/>
          <w:szCs w:val="21"/>
          <w:highlight w:val="none"/>
          <w:lang w:val="en-US" w:eastAsia="zh-CN" w:bidi="ar-SA"/>
        </w:rPr>
        <w:t xml:space="preserve">3）85分≤考核成绩＜90分，实际支付费用 = </w:t>
      </w:r>
      <w:r>
        <w:rPr>
          <w:rFonts w:hint="eastAsia" w:eastAsia="宋体" w:cs="Times New Roman"/>
          <w:b w:val="0"/>
          <w:bCs w:val="0"/>
          <w:sz w:val="21"/>
          <w:szCs w:val="21"/>
          <w:highlight w:val="none"/>
          <w:lang w:val="en-US" w:eastAsia="zh-CN" w:bidi="ar-SA"/>
        </w:rPr>
        <w:t>∑</w:t>
      </w:r>
      <w:r>
        <w:rPr>
          <w:rFonts w:hint="eastAsia" w:ascii="Times New Roman" w:hAnsi="Times New Roman" w:eastAsia="宋体" w:cs="Times New Roman"/>
          <w:b w:val="0"/>
          <w:bCs w:val="0"/>
          <w:sz w:val="21"/>
          <w:szCs w:val="21"/>
          <w:highlight w:val="none"/>
          <w:lang w:val="en-US" w:eastAsia="zh-CN" w:bidi="ar-SA"/>
        </w:rPr>
        <w:t>（中标价×按要求完成批次数）×90%。</w:t>
      </w:r>
    </w:p>
    <w:p w14:paraId="44DC941C">
      <w:pPr>
        <w:pStyle w:val="18"/>
        <w:keepNext w:val="0"/>
        <w:keepLines w:val="0"/>
        <w:pageBreakBefore w:val="0"/>
        <w:widowControl w:val="0"/>
        <w:spacing w:line="360" w:lineRule="auto"/>
        <w:ind w:right="112" w:firstLine="420"/>
        <w:jc w:val="both"/>
        <w:rPr>
          <w:rFonts w:hint="eastAsia" w:ascii="Times New Roman" w:hAnsi="Times New Roman" w:eastAsia="宋体" w:cs="Times New Roman"/>
          <w:b w:val="0"/>
          <w:bCs w:val="0"/>
          <w:sz w:val="21"/>
          <w:szCs w:val="21"/>
          <w:highlight w:val="none"/>
          <w:lang w:val="en-US" w:eastAsia="zh-CN" w:bidi="ar-SA"/>
        </w:rPr>
      </w:pPr>
      <w:r>
        <w:rPr>
          <w:rFonts w:hint="eastAsia" w:ascii="Times New Roman" w:hAnsi="Times New Roman" w:eastAsia="宋体" w:cs="Times New Roman"/>
          <w:b w:val="0"/>
          <w:bCs w:val="0"/>
          <w:sz w:val="21"/>
          <w:szCs w:val="21"/>
          <w:highlight w:val="none"/>
          <w:lang w:val="en-US" w:eastAsia="zh-CN" w:bidi="ar-SA"/>
        </w:rPr>
        <w:t xml:space="preserve">4）80分≤考核成绩＜85分，实际支付费用 = </w:t>
      </w:r>
      <w:r>
        <w:rPr>
          <w:rFonts w:hint="eastAsia" w:eastAsia="宋体" w:cs="Times New Roman"/>
          <w:b w:val="0"/>
          <w:bCs w:val="0"/>
          <w:sz w:val="21"/>
          <w:szCs w:val="21"/>
          <w:highlight w:val="none"/>
          <w:lang w:val="en-US" w:eastAsia="zh-CN" w:bidi="ar-SA"/>
        </w:rPr>
        <w:t>∑</w:t>
      </w:r>
      <w:r>
        <w:rPr>
          <w:rFonts w:hint="eastAsia" w:ascii="Times New Roman" w:hAnsi="Times New Roman" w:eastAsia="宋体" w:cs="Times New Roman"/>
          <w:b w:val="0"/>
          <w:bCs w:val="0"/>
          <w:sz w:val="21"/>
          <w:szCs w:val="21"/>
          <w:highlight w:val="none"/>
          <w:lang w:val="en-US" w:eastAsia="zh-CN" w:bidi="ar-SA"/>
        </w:rPr>
        <w:t>（中标价×按要求完成批次数）×85%。</w:t>
      </w:r>
    </w:p>
    <w:p w14:paraId="78E340C4">
      <w:pPr>
        <w:pStyle w:val="18"/>
        <w:keepNext w:val="0"/>
        <w:keepLines w:val="0"/>
        <w:pageBreakBefore w:val="0"/>
        <w:widowControl w:val="0"/>
        <w:spacing w:line="360" w:lineRule="auto"/>
        <w:ind w:right="112" w:firstLine="420"/>
        <w:jc w:val="both"/>
        <w:rPr>
          <w:rFonts w:hint="eastAsia" w:ascii="Times New Roman" w:hAnsi="Times New Roman" w:eastAsia="宋体" w:cs="Times New Roman"/>
          <w:b w:val="0"/>
          <w:bCs w:val="0"/>
          <w:sz w:val="21"/>
          <w:szCs w:val="21"/>
          <w:highlight w:val="none"/>
          <w:lang w:val="en-US" w:eastAsia="zh-CN" w:bidi="ar-SA"/>
        </w:rPr>
      </w:pPr>
      <w:r>
        <w:rPr>
          <w:rFonts w:hint="eastAsia" w:ascii="Times New Roman" w:hAnsi="Times New Roman" w:eastAsia="宋体" w:cs="Times New Roman"/>
          <w:b w:val="0"/>
          <w:bCs w:val="0"/>
          <w:sz w:val="21"/>
          <w:szCs w:val="21"/>
          <w:highlight w:val="none"/>
          <w:lang w:val="en-US" w:eastAsia="zh-CN" w:bidi="ar-SA"/>
        </w:rPr>
        <w:t xml:space="preserve">5）考核成绩＜80分，实际支付费用 = </w:t>
      </w:r>
      <w:r>
        <w:rPr>
          <w:rFonts w:hint="eastAsia" w:eastAsia="宋体" w:cs="Times New Roman"/>
          <w:b w:val="0"/>
          <w:bCs w:val="0"/>
          <w:sz w:val="21"/>
          <w:szCs w:val="21"/>
          <w:highlight w:val="none"/>
          <w:lang w:val="en-US" w:eastAsia="zh-CN" w:bidi="ar-SA"/>
        </w:rPr>
        <w:t>∑</w:t>
      </w:r>
      <w:r>
        <w:rPr>
          <w:rFonts w:hint="eastAsia" w:ascii="Times New Roman" w:hAnsi="Times New Roman" w:eastAsia="宋体" w:cs="Times New Roman"/>
          <w:b w:val="0"/>
          <w:bCs w:val="0"/>
          <w:sz w:val="21"/>
          <w:szCs w:val="21"/>
          <w:highlight w:val="none"/>
          <w:lang w:val="en-US" w:eastAsia="zh-CN" w:bidi="ar-SA"/>
        </w:rPr>
        <w:t>（中标价×按要求完成批次数）×80%。</w:t>
      </w:r>
    </w:p>
    <w:p w14:paraId="6AE19023">
      <w:pPr>
        <w:pStyle w:val="18"/>
        <w:keepNext w:val="0"/>
        <w:keepLines w:val="0"/>
        <w:pageBreakBefore w:val="0"/>
        <w:widowControl w:val="0"/>
        <w:spacing w:line="360" w:lineRule="auto"/>
        <w:ind w:right="112" w:firstLine="420"/>
        <w:jc w:val="both"/>
        <w:rPr>
          <w:rFonts w:hint="default" w:ascii="Times New Roman" w:hAnsi="Times New Roman" w:eastAsia="宋体" w:cs="Times New Roman"/>
          <w:b w:val="0"/>
          <w:bCs w:val="0"/>
          <w:sz w:val="21"/>
          <w:szCs w:val="21"/>
          <w:highlight w:val="none"/>
          <w:lang w:val="en-US" w:eastAsia="zh-CN" w:bidi="ar-SA"/>
        </w:rPr>
      </w:pPr>
      <w:r>
        <w:rPr>
          <w:rFonts w:hint="default" w:ascii="Times New Roman" w:hAnsi="Times New Roman" w:eastAsia="宋体" w:cs="Times New Roman"/>
          <w:b w:val="0"/>
          <w:bCs w:val="0"/>
          <w:sz w:val="21"/>
          <w:szCs w:val="21"/>
          <w:highlight w:val="none"/>
          <w:lang w:val="en-US" w:eastAsia="zh-CN" w:bidi="ar-SA"/>
        </w:rPr>
        <w:t>季度</w:t>
      </w:r>
      <w:r>
        <w:rPr>
          <w:rFonts w:hint="eastAsia" w:eastAsia="宋体" w:cs="Times New Roman"/>
          <w:b w:val="0"/>
          <w:bCs w:val="0"/>
          <w:sz w:val="21"/>
          <w:szCs w:val="21"/>
          <w:highlight w:val="none"/>
          <w:lang w:val="en-US" w:eastAsia="zh-CN" w:bidi="ar-SA"/>
        </w:rPr>
        <w:t>检测</w:t>
      </w:r>
      <w:r>
        <w:rPr>
          <w:rFonts w:hint="default" w:ascii="Times New Roman" w:hAnsi="Times New Roman" w:eastAsia="宋体" w:cs="Times New Roman"/>
          <w:b w:val="0"/>
          <w:bCs w:val="0"/>
          <w:sz w:val="21"/>
          <w:szCs w:val="21"/>
          <w:highlight w:val="none"/>
          <w:lang w:val="en-US" w:eastAsia="zh-CN" w:bidi="ar-SA"/>
        </w:rPr>
        <w:t>总费用</w:t>
      </w:r>
      <w:r>
        <w:rPr>
          <w:rFonts w:hint="eastAsia" w:ascii="Times New Roman" w:hAnsi="Times New Roman" w:eastAsia="宋体" w:cs="Times New Roman"/>
          <w:b w:val="0"/>
          <w:bCs w:val="0"/>
          <w:sz w:val="21"/>
          <w:szCs w:val="21"/>
          <w:highlight w:val="none"/>
          <w:lang w:val="en-US" w:eastAsia="zh-CN" w:bidi="ar-SA"/>
        </w:rPr>
        <w:t>为</w:t>
      </w:r>
      <w:r>
        <w:rPr>
          <w:rFonts w:hint="eastAsia" w:eastAsia="宋体" w:cs="Times New Roman"/>
          <w:b w:val="0"/>
          <w:bCs w:val="0"/>
          <w:sz w:val="21"/>
          <w:szCs w:val="21"/>
          <w:highlight w:val="none"/>
          <w:lang w:val="en-US" w:eastAsia="zh-CN" w:bidi="ar-SA"/>
        </w:rPr>
        <w:t>乙方</w:t>
      </w:r>
      <w:r>
        <w:rPr>
          <w:rFonts w:hint="default" w:ascii="Times New Roman" w:hAnsi="Times New Roman" w:eastAsia="宋体" w:cs="Times New Roman"/>
          <w:b w:val="0"/>
          <w:bCs w:val="0"/>
          <w:sz w:val="21"/>
          <w:szCs w:val="21"/>
          <w:highlight w:val="none"/>
          <w:lang w:val="en-US" w:eastAsia="zh-CN" w:bidi="ar-SA"/>
        </w:rPr>
        <w:t>负责运维的所有快检室的实际支付费用求和得到。</w:t>
      </w:r>
    </w:p>
    <w:p w14:paraId="1C10AB7E">
      <w:pPr>
        <w:pStyle w:val="18"/>
        <w:keepNext w:val="0"/>
        <w:keepLines w:val="0"/>
        <w:pageBreakBefore w:val="0"/>
        <w:widowControl w:val="0"/>
        <w:spacing w:line="360" w:lineRule="auto"/>
        <w:ind w:right="112" w:firstLine="420"/>
        <w:jc w:val="both"/>
        <w:rPr>
          <w:rFonts w:hint="default" w:ascii="Times New Roman" w:hAnsi="Times New Roman" w:eastAsia="宋体" w:cs="Times New Roman"/>
          <w:b w:val="0"/>
          <w:bCs w:val="0"/>
          <w:sz w:val="21"/>
          <w:szCs w:val="21"/>
          <w:highlight w:val="none"/>
          <w:lang w:val="en-US" w:eastAsia="zh-CN" w:bidi="ar-SA"/>
        </w:rPr>
      </w:pPr>
      <w:r>
        <w:rPr>
          <w:rFonts w:hint="default" w:ascii="Times New Roman" w:hAnsi="Times New Roman" w:eastAsia="宋体" w:cs="Times New Roman"/>
          <w:b w:val="0"/>
          <w:bCs w:val="0"/>
          <w:sz w:val="21"/>
          <w:szCs w:val="21"/>
          <w:highlight w:val="none"/>
          <w:lang w:val="en-US" w:eastAsia="zh-CN" w:bidi="ar-SA"/>
        </w:rPr>
        <w:t>（2）季度考核分值。季度考核分值由其运行维护的所有快检室的季度考核成绩计算平均分得出。</w:t>
      </w:r>
    </w:p>
    <w:p w14:paraId="6CBEF7E6">
      <w:pPr>
        <w:widowControl/>
        <w:shd w:val="clear" w:color="auto" w:fill="FFFFFF"/>
        <w:spacing w:line="360" w:lineRule="auto"/>
        <w:ind w:firstLine="420"/>
        <w:jc w:val="left"/>
        <w:rPr>
          <w:rFonts w:ascii="宋体" w:hAnsi="宋体"/>
          <w:color w:val="auto"/>
          <w:kern w:val="0"/>
          <w:highlight w:val="none"/>
        </w:rPr>
      </w:pPr>
      <w:r>
        <w:rPr>
          <w:rFonts w:hint="default" w:ascii="Times New Roman" w:hAnsi="Times New Roman" w:eastAsia="宋体" w:cs="Times New Roman"/>
          <w:b w:val="0"/>
          <w:bCs w:val="0"/>
          <w:sz w:val="21"/>
          <w:szCs w:val="21"/>
          <w:highlight w:val="none"/>
          <w:lang w:val="en-US" w:eastAsia="zh-CN" w:bidi="ar-SA"/>
        </w:rPr>
        <w:t>（3）年度考核分值。年度考核分值由季度考核分值计算平均分得出，并根据考核分值确定年度综合评价结果，分为优秀（95分及以上）、良好（90</w:t>
      </w:r>
      <w:r>
        <w:rPr>
          <w:rFonts w:hint="eastAsia" w:eastAsia="宋体" w:cs="Times New Roman"/>
          <w:b w:val="0"/>
          <w:bCs w:val="0"/>
          <w:sz w:val="21"/>
          <w:szCs w:val="21"/>
          <w:highlight w:val="none"/>
          <w:lang w:val="en-US" w:eastAsia="zh-CN" w:bidi="ar-SA"/>
        </w:rPr>
        <w:t>～</w:t>
      </w:r>
      <w:r>
        <w:rPr>
          <w:rFonts w:hint="default" w:ascii="Times New Roman" w:hAnsi="Times New Roman" w:eastAsia="宋体" w:cs="Times New Roman"/>
          <w:b w:val="0"/>
          <w:bCs w:val="0"/>
          <w:sz w:val="21"/>
          <w:szCs w:val="21"/>
          <w:highlight w:val="none"/>
          <w:lang w:val="en-US" w:eastAsia="zh-CN" w:bidi="ar-SA"/>
        </w:rPr>
        <w:t>95分）、中等（85</w:t>
      </w:r>
      <w:r>
        <w:rPr>
          <w:rFonts w:hint="eastAsia" w:eastAsia="宋体" w:cs="Times New Roman"/>
          <w:b w:val="0"/>
          <w:bCs w:val="0"/>
          <w:sz w:val="21"/>
          <w:szCs w:val="21"/>
          <w:highlight w:val="none"/>
          <w:lang w:val="en-US" w:eastAsia="zh-CN" w:bidi="ar-SA"/>
        </w:rPr>
        <w:t>～</w:t>
      </w:r>
      <w:r>
        <w:rPr>
          <w:rFonts w:hint="default" w:ascii="Times New Roman" w:hAnsi="Times New Roman" w:eastAsia="宋体" w:cs="Times New Roman"/>
          <w:b w:val="0"/>
          <w:bCs w:val="0"/>
          <w:sz w:val="21"/>
          <w:szCs w:val="21"/>
          <w:highlight w:val="none"/>
          <w:lang w:val="en-US" w:eastAsia="zh-CN" w:bidi="ar-SA"/>
        </w:rPr>
        <w:t>90分）、合格（80</w:t>
      </w:r>
      <w:r>
        <w:rPr>
          <w:rFonts w:hint="eastAsia" w:eastAsia="宋体" w:cs="Times New Roman"/>
          <w:b w:val="0"/>
          <w:bCs w:val="0"/>
          <w:sz w:val="21"/>
          <w:szCs w:val="21"/>
          <w:highlight w:val="none"/>
          <w:lang w:val="en-US" w:eastAsia="zh-CN" w:bidi="ar-SA"/>
        </w:rPr>
        <w:t>～</w:t>
      </w:r>
      <w:r>
        <w:rPr>
          <w:rFonts w:hint="default" w:ascii="Times New Roman" w:hAnsi="Times New Roman" w:eastAsia="宋体" w:cs="Times New Roman"/>
          <w:b w:val="0"/>
          <w:bCs w:val="0"/>
          <w:sz w:val="21"/>
          <w:szCs w:val="21"/>
          <w:highlight w:val="none"/>
          <w:lang w:val="en-US" w:eastAsia="zh-CN" w:bidi="ar-SA"/>
        </w:rPr>
        <w:t>85分）、不合格（80分以下）五个等次。</w:t>
      </w:r>
    </w:p>
    <w:p w14:paraId="12161D7A">
      <w:pPr>
        <w:widowControl/>
        <w:shd w:val="clear" w:color="auto" w:fill="FFFFFF"/>
        <w:spacing w:line="360" w:lineRule="auto"/>
        <w:ind w:firstLine="420"/>
        <w:jc w:val="left"/>
        <w:rPr>
          <w:rFonts w:ascii="宋体" w:hAnsi="宋体"/>
          <w:color w:val="auto"/>
          <w:kern w:val="0"/>
          <w:highlight w:val="none"/>
        </w:rPr>
      </w:pPr>
      <w:r>
        <w:rPr>
          <w:rFonts w:hint="eastAsia" w:ascii="宋体" w:hAnsi="宋体"/>
          <w:b/>
          <w:bCs/>
          <w:color w:val="auto"/>
          <w:kern w:val="0"/>
          <w:highlight w:val="none"/>
        </w:rPr>
        <w:t>第八条 合同款支付</w:t>
      </w:r>
    </w:p>
    <w:p w14:paraId="4BC56457">
      <w:pPr>
        <w:widowControl/>
        <w:shd w:val="clear" w:color="auto" w:fill="FFFFFF"/>
        <w:spacing w:line="360" w:lineRule="auto"/>
        <w:ind w:firstLine="420"/>
        <w:jc w:val="left"/>
        <w:rPr>
          <w:rFonts w:ascii="宋体" w:hAnsi="宋体"/>
          <w:color w:val="auto"/>
          <w:kern w:val="0"/>
          <w:highlight w:val="none"/>
        </w:rPr>
      </w:pPr>
      <w:r>
        <w:rPr>
          <w:rFonts w:hint="eastAsia" w:ascii="宋体" w:hAnsi="宋体"/>
          <w:color w:val="auto"/>
          <w:kern w:val="0"/>
          <w:highlight w:val="none"/>
        </w:rPr>
        <w:t>1、本合同项下所有款项均以人民币支付。</w:t>
      </w:r>
    </w:p>
    <w:p w14:paraId="03259AC7">
      <w:pPr>
        <w:widowControl/>
        <w:shd w:val="clear" w:color="auto" w:fill="FFFFFF"/>
        <w:spacing w:line="360" w:lineRule="auto"/>
        <w:ind w:firstLine="420"/>
        <w:jc w:val="left"/>
        <w:rPr>
          <w:rFonts w:ascii="宋体" w:hAnsi="宋体"/>
          <w:color w:val="auto"/>
          <w:kern w:val="0"/>
          <w:highlight w:val="none"/>
        </w:rPr>
      </w:pPr>
      <w:r>
        <w:rPr>
          <w:rFonts w:hint="eastAsia" w:ascii="宋体" w:hAnsi="宋体"/>
          <w:color w:val="auto"/>
          <w:kern w:val="0"/>
          <w:highlight w:val="none"/>
        </w:rPr>
        <w:t>2、</w:t>
      </w:r>
      <w:r>
        <w:rPr>
          <w:rFonts w:hint="eastAsia" w:ascii="宋体" w:hAnsi="宋体" w:eastAsia="宋体" w:cs="宋体"/>
          <w:szCs w:val="21"/>
        </w:rPr>
        <w:t>本合同项下的采购资金由甲方自行支付，</w:t>
      </w:r>
      <w:r>
        <w:rPr>
          <w:rFonts w:hint="eastAsia" w:ascii="宋体" w:hAnsi="宋体" w:eastAsia="宋体" w:cs="宋体"/>
          <w:szCs w:val="21"/>
          <w:lang w:eastAsia="zh-Hans"/>
        </w:rPr>
        <w:t>甲方付款前，乙方应按各期付款数额以及甲方的要求向甲方开具符合国家法律法规和标准的发票，乙方承诺其开具发票的形式与内容均合法、有效、完整、准确，不开具或开具不合格的，甲方有权迟延支付应付款项直至乙方开具合格票据之日且不承担任何违约责任，且乙方的各项合同义务仍应按合同约定履行。由于乙方未足额缴纳应缴税款和开具发票不真实、不合格而引起的一切责任（包括商业责任和法律责任）和损失，由乙方承担。</w:t>
      </w:r>
    </w:p>
    <w:p w14:paraId="1D56BE59">
      <w:pPr>
        <w:widowControl/>
        <w:shd w:val="clear" w:color="auto" w:fill="FFFFFF"/>
        <w:spacing w:line="360" w:lineRule="auto"/>
        <w:ind w:firstLine="420"/>
        <w:jc w:val="left"/>
        <w:rPr>
          <w:rFonts w:hint="eastAsia" w:ascii="宋体" w:hAnsi="宋体" w:eastAsia="宋体" w:cs="Times New Roman"/>
          <w:i w:val="0"/>
          <w:iCs w:val="0"/>
          <w:caps w:val="0"/>
          <w:color w:val="auto"/>
          <w:spacing w:val="0"/>
          <w:kern w:val="0"/>
          <w:sz w:val="21"/>
          <w:szCs w:val="24"/>
          <w:highlight w:val="none"/>
          <w:shd w:val="clear"/>
        </w:rPr>
      </w:pPr>
      <w:r>
        <w:rPr>
          <w:rFonts w:hint="eastAsia" w:ascii="宋体" w:hAnsi="宋体" w:eastAsia="宋体" w:cs="Times New Roman"/>
          <w:color w:val="auto"/>
          <w:kern w:val="0"/>
          <w:szCs w:val="24"/>
          <w:highlight w:val="none"/>
        </w:rPr>
        <w:t>3、</w:t>
      </w:r>
      <w:r>
        <w:rPr>
          <w:rFonts w:hint="eastAsia" w:ascii="宋体" w:hAnsi="宋体" w:eastAsia="宋体" w:cs="Times New Roman"/>
          <w:i w:val="0"/>
          <w:iCs w:val="0"/>
          <w:caps w:val="0"/>
          <w:color w:val="auto"/>
          <w:spacing w:val="0"/>
          <w:kern w:val="0"/>
          <w:sz w:val="21"/>
          <w:szCs w:val="24"/>
          <w:highlight w:val="none"/>
          <w:shd w:val="clear"/>
        </w:rPr>
        <w:t>付款方式：</w:t>
      </w:r>
    </w:p>
    <w:p w14:paraId="6511F3B5">
      <w:pPr>
        <w:pStyle w:val="253"/>
        <w:widowControl w:val="0"/>
        <w:numPr>
          <w:ilvl w:val="0"/>
          <w:numId w:val="0"/>
        </w:numPr>
        <w:ind w:firstLine="420"/>
        <w:jc w:val="both"/>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（1）本项目原则上按季度下发任务，待季度任务完成后，按季度考核成绩据实核算后支付。</w:t>
      </w:r>
    </w:p>
    <w:p w14:paraId="1148B6CE">
      <w:pPr>
        <w:pStyle w:val="253"/>
        <w:widowControl w:val="0"/>
        <w:numPr>
          <w:ilvl w:val="0"/>
          <w:numId w:val="0"/>
        </w:numPr>
        <w:ind w:firstLine="420"/>
        <w:jc w:val="both"/>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2）乙方需按照甲方要求，依据甲方任务委托书等、工作量清单、考核结果及其他结算依据提出付款申请。甲方在收到乙方提交的完整结算资料后进行审核，审核结果通知乙方，乙方根据审核结果开具正式发票。甲方在乙方提供正式发票后20个工作日内</w:t>
      </w:r>
      <w:r>
        <w:rPr>
          <w:rFonts w:hint="default" w:ascii="宋体" w:hAnsi="宋体" w:eastAsia="宋体" w:cs="宋体"/>
          <w:b w:val="0"/>
          <w:bCs w:val="0"/>
          <w:sz w:val="21"/>
          <w:szCs w:val="21"/>
          <w:highlight w:val="none"/>
          <w:lang w:val="en-US" w:eastAsia="zh-CN"/>
        </w:rPr>
        <w:t>向政府采购支付部门提出办理财政支付申请手续，</w:t>
      </w:r>
      <w:r>
        <w:rPr>
          <w:rFonts w:hint="eastAsia" w:ascii="宋体" w:hAnsi="宋体" w:eastAsia="宋体" w:cs="宋体"/>
          <w:b w:val="0"/>
          <w:bCs w:val="0"/>
          <w:sz w:val="21"/>
          <w:szCs w:val="21"/>
          <w:highlight w:val="none"/>
          <w:lang w:val="en-US" w:eastAsia="zh-CN"/>
        </w:rPr>
        <w:t>并在财政资金实际拨付后及时向供应商支付相应款项；因财政拨付、政策调整或非采购人原因导致付款延迟的，不视为甲方违约。</w:t>
      </w:r>
    </w:p>
    <w:p w14:paraId="752B9EDB">
      <w:pPr>
        <w:pStyle w:val="253"/>
        <w:widowControl w:val="0"/>
        <w:numPr>
          <w:ilvl w:val="0"/>
          <w:numId w:val="0"/>
        </w:numPr>
        <w:ind w:firstLine="420"/>
        <w:jc w:val="both"/>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甲方按照采购文件及本合同约定的付款条件、付款节点和付款程序向乙方支付合同款项。乙方应当先按约向甲方提交合法有效且符合甲方财务要求的发票及请款资料；乙方未提交或提交的发票、资料不符合要求的，甲方有权暂缓付款且不承担逾期付款责任。</w:t>
      </w:r>
    </w:p>
    <w:p w14:paraId="70450E03">
      <w:pPr>
        <w:widowControl/>
        <w:shd w:val="clear" w:color="auto" w:fill="FFFFFF"/>
        <w:spacing w:line="360" w:lineRule="auto"/>
        <w:ind w:firstLine="420"/>
        <w:jc w:val="left"/>
        <w:rPr>
          <w:rFonts w:ascii="宋体" w:hAnsi="宋体"/>
          <w:color w:val="auto"/>
          <w:kern w:val="0"/>
          <w:highlight w:val="none"/>
        </w:rPr>
      </w:pPr>
      <w:r>
        <w:rPr>
          <w:rFonts w:hint="eastAsia" w:ascii="宋体" w:hAnsi="宋体"/>
          <w:b/>
          <w:bCs/>
          <w:color w:val="auto"/>
          <w:kern w:val="0"/>
          <w:highlight w:val="none"/>
        </w:rPr>
        <w:t xml:space="preserve">第九条 违约责任  </w:t>
      </w:r>
    </w:p>
    <w:p w14:paraId="6C907AF1">
      <w:pPr>
        <w:widowControl/>
        <w:shd w:val="clear" w:color="auto" w:fill="FFFFFF"/>
        <w:spacing w:line="360" w:lineRule="auto"/>
        <w:ind w:firstLine="420"/>
        <w:jc w:val="left"/>
        <w:rPr>
          <w:rFonts w:hint="eastAsia" w:ascii="宋体" w:hAnsi="宋体" w:eastAsia="宋体" w:cs="Times New Roman"/>
          <w:color w:val="auto"/>
          <w:kern w:val="0"/>
          <w:highlight w:val="none"/>
        </w:rPr>
      </w:pPr>
      <w:r>
        <w:rPr>
          <w:rFonts w:hint="eastAsia" w:ascii="宋体" w:hAnsi="宋体" w:eastAsia="宋体" w:cs="Times New Roman"/>
          <w:color w:val="auto"/>
          <w:kern w:val="0"/>
          <w:highlight w:val="none"/>
        </w:rPr>
        <w:t>１、甲方无正当理由拒绝验收或拒付款的，甲方向乙方偿付合同总价的5%违约金。</w:t>
      </w:r>
    </w:p>
    <w:p w14:paraId="14CE80EC">
      <w:pPr>
        <w:widowControl/>
        <w:shd w:val="clear" w:color="auto" w:fill="FFFFFF"/>
        <w:spacing w:line="360" w:lineRule="auto"/>
        <w:ind w:firstLine="420"/>
        <w:jc w:val="left"/>
        <w:rPr>
          <w:rFonts w:hint="eastAsia" w:ascii="宋体" w:hAnsi="宋体" w:eastAsia="宋体" w:cs="Times New Roman"/>
          <w:color w:val="auto"/>
          <w:kern w:val="0"/>
          <w:highlight w:val="none"/>
        </w:rPr>
      </w:pPr>
      <w:r>
        <w:rPr>
          <w:rFonts w:hint="eastAsia" w:ascii="宋体" w:hAnsi="宋体" w:eastAsia="宋体" w:cs="Times New Roman"/>
          <w:color w:val="auto"/>
          <w:kern w:val="0"/>
          <w:highlight w:val="none"/>
        </w:rPr>
        <w:t>２、因甲方原因未按合同约定期限支付合同款，且乙方已按约完成履约并向甲方提交合法有效发票及完整请款资料的，每逾期1天，甲方按应付未付款项的万分之五向乙方支付违约</w:t>
      </w:r>
      <w:r>
        <w:rPr>
          <w:rFonts w:hint="eastAsia" w:ascii="宋体" w:hAnsi="宋体" w:eastAsia="宋体" w:cs="Times New Roman"/>
          <w:color w:val="auto"/>
          <w:kern w:val="0"/>
          <w:highlight w:val="none"/>
          <w:lang w:val="en-US" w:eastAsia="zh-CN"/>
        </w:rPr>
        <w:t>金</w:t>
      </w:r>
      <w:r>
        <w:rPr>
          <w:rFonts w:hint="eastAsia" w:ascii="宋体" w:hAnsi="宋体" w:eastAsia="宋体" w:cs="Times New Roman"/>
          <w:color w:val="auto"/>
          <w:kern w:val="0"/>
          <w:highlight w:val="none"/>
        </w:rPr>
        <w:t>，但累计违约金总额不超过应付未付款项的5%。因财政拨付延迟、财政支付管理流程、政府采购付款审批流程、乙方未提交或迟延提交合法有效发票或请款资料、乙方履约存在瑕疵或争议等非甲方单方原因导致付款延迟的，甲方不承担逾期付款责任。</w:t>
      </w:r>
    </w:p>
    <w:p w14:paraId="3FC494F3">
      <w:pPr>
        <w:widowControl/>
        <w:shd w:val="clear" w:color="auto" w:fill="FFFFFF"/>
        <w:spacing w:line="360" w:lineRule="auto"/>
        <w:ind w:firstLine="420"/>
        <w:jc w:val="left"/>
        <w:rPr>
          <w:rFonts w:hint="eastAsia" w:ascii="宋体" w:hAnsi="宋体" w:eastAsia="宋体" w:cs="Times New Roman"/>
          <w:color w:val="auto"/>
          <w:kern w:val="0"/>
          <w:highlight w:val="none"/>
        </w:rPr>
      </w:pPr>
      <w:r>
        <w:rPr>
          <w:rFonts w:hint="eastAsia" w:ascii="宋体" w:hAnsi="宋体" w:eastAsia="宋体" w:cs="Times New Roman"/>
          <w:color w:val="auto"/>
          <w:kern w:val="0"/>
          <w:highlight w:val="none"/>
        </w:rPr>
        <w:t>３、如乙方不能按期交付服务的，乙方应向甲方支付合同总价5%的违约金。</w:t>
      </w:r>
    </w:p>
    <w:p w14:paraId="7975B867">
      <w:pPr>
        <w:widowControl/>
        <w:shd w:val="clear" w:color="auto" w:fill="FFFFFF"/>
        <w:spacing w:line="360" w:lineRule="auto"/>
        <w:ind w:firstLine="420"/>
        <w:jc w:val="left"/>
        <w:rPr>
          <w:rFonts w:hint="eastAsia" w:ascii="宋体" w:hAnsi="宋体" w:eastAsia="宋体" w:cs="Times New Roman"/>
          <w:color w:val="auto"/>
          <w:kern w:val="0"/>
          <w:highlight w:val="none"/>
        </w:rPr>
      </w:pPr>
      <w:r>
        <w:rPr>
          <w:rFonts w:hint="eastAsia" w:ascii="宋体" w:hAnsi="宋体" w:eastAsia="宋体" w:cs="Times New Roman"/>
          <w:color w:val="auto"/>
          <w:kern w:val="0"/>
          <w:highlight w:val="none"/>
        </w:rPr>
        <w:t>４、乙方逾期交付的，每逾期1天，乙方向甲方按合同总额的5‰支付违约金。如乙方逾期交付达10天或虽未达10天但已明显影响合同目的实现的，甲方有权解除合同，解除合同的通知到达乙方时生效。乙方除支付违约金外，还应赔偿甲方因此遭受的全部损失。乙方逾期交付的，相关失信后果按政府采购监督管理规定执行。</w:t>
      </w:r>
    </w:p>
    <w:p w14:paraId="48F75514">
      <w:pPr>
        <w:widowControl/>
        <w:shd w:val="clear" w:color="auto" w:fill="FFFFFF"/>
        <w:spacing w:line="360" w:lineRule="auto"/>
        <w:ind w:firstLine="420"/>
        <w:jc w:val="left"/>
        <w:rPr>
          <w:rFonts w:hint="eastAsia" w:ascii="宋体" w:hAnsi="宋体" w:eastAsia="宋体" w:cs="Times New Roman"/>
          <w:color w:val="auto"/>
          <w:kern w:val="0"/>
          <w:highlight w:val="none"/>
        </w:rPr>
      </w:pPr>
      <w:r>
        <w:rPr>
          <w:rFonts w:hint="eastAsia" w:ascii="宋体" w:hAnsi="宋体" w:eastAsia="宋体" w:cs="Times New Roman"/>
          <w:color w:val="auto"/>
          <w:kern w:val="0"/>
          <w:highlight w:val="none"/>
        </w:rPr>
        <w:t>5、乙方在承担违约责任后，仍应继续履行合同规定的义务（甲方解除合同的除外）。甲方未能及时追究乙方的任何一项违约责任并不表明甲方放弃追究乙方该项或其他违约责任。</w:t>
      </w:r>
    </w:p>
    <w:p w14:paraId="6B341C69">
      <w:pPr>
        <w:widowControl/>
        <w:shd w:val="clear" w:color="auto" w:fill="FFFFFF"/>
        <w:spacing w:line="360" w:lineRule="auto"/>
        <w:ind w:firstLine="420"/>
        <w:jc w:val="left"/>
        <w:rPr>
          <w:rFonts w:hint="default" w:ascii="宋体" w:hAnsi="宋体" w:eastAsia="宋体" w:cs="Times New Roman"/>
          <w:color w:val="auto"/>
          <w:kern w:val="0"/>
          <w:highlight w:val="none"/>
          <w:lang w:val="en-US" w:eastAsia="zh-CN"/>
        </w:rPr>
      </w:pPr>
      <w:r>
        <w:rPr>
          <w:rFonts w:hint="eastAsia" w:ascii="宋体" w:hAnsi="宋体" w:eastAsia="宋体" w:cs="Times New Roman"/>
          <w:color w:val="auto"/>
          <w:kern w:val="0"/>
          <w:highlight w:val="none"/>
        </w:rPr>
        <w:t>6、乙方虚假承诺，或经</w:t>
      </w:r>
      <w:r>
        <w:rPr>
          <w:rFonts w:hint="eastAsia" w:ascii="宋体" w:hAnsi="宋体" w:eastAsia="宋体" w:cs="Times New Roman"/>
          <w:color w:val="auto"/>
          <w:kern w:val="0"/>
          <w:highlight w:val="none"/>
          <w:lang w:val="en-US" w:eastAsia="zh-CN"/>
        </w:rPr>
        <w:t>有资质的检测机构、验收机构或监管</w:t>
      </w:r>
      <w:r>
        <w:rPr>
          <w:rFonts w:hint="eastAsia" w:ascii="宋体" w:hAnsi="宋体" w:eastAsia="宋体" w:cs="Times New Roman"/>
          <w:color w:val="auto"/>
          <w:kern w:val="0"/>
          <w:highlight w:val="none"/>
        </w:rPr>
        <w:t>部门</w:t>
      </w:r>
      <w:r>
        <w:rPr>
          <w:rFonts w:hint="eastAsia" w:ascii="宋体" w:hAnsi="宋体" w:eastAsia="宋体" w:cs="Times New Roman"/>
          <w:color w:val="auto"/>
          <w:kern w:val="0"/>
          <w:highlight w:val="none"/>
          <w:lang w:val="en-US" w:eastAsia="zh-CN"/>
        </w:rPr>
        <w:t>认定其</w:t>
      </w:r>
      <w:r>
        <w:rPr>
          <w:rFonts w:hint="eastAsia" w:ascii="宋体" w:hAnsi="宋体" w:eastAsia="宋体" w:cs="Times New Roman"/>
          <w:color w:val="auto"/>
          <w:kern w:val="0"/>
          <w:highlight w:val="none"/>
        </w:rPr>
        <w:t>提供的货物</w:t>
      </w:r>
      <w:r>
        <w:rPr>
          <w:rFonts w:hint="eastAsia" w:ascii="宋体" w:hAnsi="宋体" w:eastAsia="宋体" w:cs="Times New Roman"/>
          <w:color w:val="auto"/>
          <w:kern w:val="0"/>
          <w:highlight w:val="none"/>
          <w:lang w:val="en-US" w:eastAsia="zh-CN"/>
        </w:rPr>
        <w:t>或</w:t>
      </w:r>
      <w:r>
        <w:rPr>
          <w:rFonts w:hint="eastAsia" w:ascii="宋体" w:hAnsi="宋体" w:eastAsia="宋体" w:cs="Times New Roman"/>
          <w:color w:val="auto"/>
          <w:kern w:val="0"/>
          <w:highlight w:val="none"/>
        </w:rPr>
        <w:t>服务不能满足采购文件要求，或</w:t>
      </w:r>
      <w:r>
        <w:rPr>
          <w:rFonts w:hint="eastAsia" w:ascii="宋体" w:hAnsi="宋体" w:eastAsia="宋体" w:cs="Times New Roman"/>
          <w:color w:val="auto"/>
          <w:kern w:val="0"/>
          <w:highlight w:val="none"/>
          <w:lang w:val="en-US" w:eastAsia="zh-CN"/>
        </w:rPr>
        <w:t>因</w:t>
      </w:r>
      <w:r>
        <w:rPr>
          <w:rFonts w:hint="eastAsia" w:ascii="宋体" w:hAnsi="宋体" w:eastAsia="宋体" w:cs="Times New Roman"/>
          <w:color w:val="auto"/>
          <w:kern w:val="0"/>
          <w:highlight w:val="none"/>
        </w:rPr>
        <w:t>乙方</w:t>
      </w:r>
      <w:r>
        <w:rPr>
          <w:rFonts w:hint="eastAsia" w:ascii="宋体" w:hAnsi="宋体" w:eastAsia="宋体" w:cs="Times New Roman"/>
          <w:color w:val="auto"/>
          <w:kern w:val="0"/>
          <w:highlight w:val="none"/>
          <w:lang w:val="en-US" w:eastAsia="zh-CN"/>
        </w:rPr>
        <w:t>原因</w:t>
      </w:r>
      <w:r>
        <w:rPr>
          <w:rFonts w:hint="eastAsia" w:ascii="宋体" w:hAnsi="宋体" w:eastAsia="宋体" w:cs="Times New Roman"/>
          <w:color w:val="auto"/>
          <w:kern w:val="0"/>
          <w:highlight w:val="none"/>
        </w:rPr>
        <w:t>造成合同无法继续履行的，</w:t>
      </w:r>
      <w:r>
        <w:rPr>
          <w:rFonts w:hint="eastAsia" w:ascii="宋体" w:hAnsi="宋体" w:eastAsia="宋体" w:cs="Times New Roman"/>
          <w:color w:val="auto"/>
          <w:kern w:val="0"/>
          <w:highlight w:val="none"/>
          <w:lang w:val="en-US" w:eastAsia="zh-CN"/>
        </w:rPr>
        <w:t>乙方</w:t>
      </w:r>
      <w:r>
        <w:rPr>
          <w:rFonts w:hint="eastAsia" w:ascii="宋体" w:hAnsi="宋体" w:eastAsia="宋体" w:cs="Times New Roman"/>
          <w:color w:val="auto"/>
          <w:kern w:val="0"/>
          <w:highlight w:val="none"/>
        </w:rPr>
        <w:t>应向甲方支付合同总价30%</w:t>
      </w:r>
      <w:r>
        <w:rPr>
          <w:rFonts w:hint="eastAsia" w:ascii="宋体" w:hAnsi="宋体" w:eastAsia="宋体" w:cs="Times New Roman"/>
          <w:color w:val="auto"/>
          <w:kern w:val="0"/>
          <w:highlight w:val="none"/>
          <w:lang w:val="en-US" w:eastAsia="zh-CN"/>
        </w:rPr>
        <w:t>的</w:t>
      </w:r>
      <w:r>
        <w:rPr>
          <w:rFonts w:hint="eastAsia" w:ascii="宋体" w:hAnsi="宋体" w:eastAsia="宋体" w:cs="Times New Roman"/>
          <w:color w:val="auto"/>
          <w:kern w:val="0"/>
          <w:highlight w:val="none"/>
        </w:rPr>
        <w:t>赔偿金。</w:t>
      </w:r>
      <w:r>
        <w:rPr>
          <w:rFonts w:hint="eastAsia" w:ascii="宋体" w:hAnsi="宋体" w:eastAsia="宋体" w:cs="Times New Roman"/>
          <w:color w:val="auto"/>
          <w:kern w:val="0"/>
          <w:highlight w:val="none"/>
          <w:lang w:val="en-US" w:eastAsia="zh-CN"/>
        </w:rPr>
        <w:t>违约金不足以弥补甲方损失的，乙方还应继续赔偿甲方全部损失。</w:t>
      </w:r>
    </w:p>
    <w:p w14:paraId="326D3075">
      <w:pPr>
        <w:widowControl/>
        <w:shd w:val="clear" w:color="auto" w:fill="FFFFFF"/>
        <w:spacing w:line="360" w:lineRule="auto"/>
        <w:ind w:firstLine="420"/>
        <w:jc w:val="left"/>
        <w:rPr>
          <w:rFonts w:hint="eastAsia" w:ascii="宋体" w:hAnsi="宋体" w:eastAsia="宋体" w:cs="Times New Roman"/>
          <w:b/>
          <w:bCs/>
          <w:color w:val="auto"/>
          <w:kern w:val="0"/>
          <w:highlight w:val="none"/>
        </w:rPr>
      </w:pPr>
      <w:r>
        <w:rPr>
          <w:rFonts w:hint="eastAsia" w:ascii="宋体" w:hAnsi="宋体" w:eastAsia="宋体" w:cs="Times New Roman"/>
          <w:b/>
          <w:bCs/>
          <w:color w:val="auto"/>
          <w:kern w:val="0"/>
          <w:highlight w:val="none"/>
        </w:rPr>
        <w:t>第十条 合同的变更和终止</w:t>
      </w:r>
    </w:p>
    <w:p w14:paraId="5DF2CE36">
      <w:pPr>
        <w:widowControl/>
        <w:shd w:val="clear" w:color="auto" w:fill="FFFFFF"/>
        <w:spacing w:line="360" w:lineRule="auto"/>
        <w:ind w:firstLine="420"/>
        <w:jc w:val="left"/>
        <w:rPr>
          <w:rFonts w:hint="eastAsia" w:ascii="宋体" w:hAnsi="宋体" w:eastAsia="宋体" w:cs="Times New Roman"/>
          <w:color w:val="auto"/>
          <w:kern w:val="0"/>
          <w:highlight w:val="none"/>
        </w:rPr>
      </w:pPr>
      <w:r>
        <w:rPr>
          <w:rFonts w:hint="eastAsia" w:ascii="宋体" w:hAnsi="宋体" w:eastAsia="宋体" w:cs="Times New Roman"/>
          <w:color w:val="auto"/>
          <w:kern w:val="0"/>
          <w:highlight w:val="none"/>
        </w:rPr>
        <w:t>1、除政府采购法第50条第二款规定的情形外，本合同一经签订，甲乙双方不得擅自变更、中止或终止合同。</w:t>
      </w:r>
    </w:p>
    <w:p w14:paraId="7B7814E8">
      <w:pPr>
        <w:widowControl/>
        <w:shd w:val="clear" w:color="auto" w:fill="FFFFFF"/>
        <w:spacing w:line="360" w:lineRule="auto"/>
        <w:ind w:firstLine="420"/>
        <w:jc w:val="left"/>
        <w:rPr>
          <w:rFonts w:hint="eastAsia" w:ascii="宋体" w:hAnsi="宋体" w:eastAsia="宋体" w:cs="Times New Roman"/>
          <w:color w:val="auto"/>
          <w:kern w:val="0"/>
          <w:highlight w:val="none"/>
        </w:rPr>
      </w:pPr>
      <w:r>
        <w:rPr>
          <w:rFonts w:hint="eastAsia" w:ascii="宋体" w:hAnsi="宋体" w:eastAsia="宋体" w:cs="Times New Roman"/>
          <w:color w:val="auto"/>
          <w:kern w:val="0"/>
          <w:highlight w:val="none"/>
        </w:rPr>
        <w:t>2、除发生法律规定的不能预见、不能避免并不能克服的客观情况外，甲乙双方不得放弃或拒绝履行合同。乙方放弃或拒绝履行合同，在三年内不得参加</w:t>
      </w:r>
      <w:r>
        <w:rPr>
          <w:rFonts w:hint="eastAsia" w:ascii="宋体" w:hAnsi="宋体" w:eastAsia="宋体" w:cs="Times New Roman"/>
          <w:color w:val="auto"/>
          <w:kern w:val="0"/>
          <w:highlight w:val="none"/>
          <w:lang w:val="en-US" w:eastAsia="zh-CN"/>
        </w:rPr>
        <w:t>甲方</w:t>
      </w:r>
      <w:r>
        <w:rPr>
          <w:rFonts w:hint="eastAsia" w:ascii="宋体" w:hAnsi="宋体" w:eastAsia="宋体" w:cs="Times New Roman"/>
          <w:color w:val="auto"/>
          <w:kern w:val="0"/>
          <w:highlight w:val="none"/>
        </w:rPr>
        <w:t>组织的政府采购活动。</w:t>
      </w:r>
    </w:p>
    <w:p w14:paraId="32DF361C">
      <w:pPr>
        <w:widowControl/>
        <w:shd w:val="clear" w:color="auto" w:fill="FFFFFF"/>
        <w:spacing w:line="360" w:lineRule="auto"/>
        <w:ind w:firstLine="420"/>
        <w:jc w:val="left"/>
        <w:rPr>
          <w:rFonts w:ascii="宋体" w:hAnsi="宋体"/>
          <w:color w:val="auto"/>
          <w:kern w:val="0"/>
          <w:highlight w:val="none"/>
        </w:rPr>
      </w:pPr>
      <w:r>
        <w:rPr>
          <w:rFonts w:hint="eastAsia" w:ascii="宋体" w:hAnsi="宋体"/>
          <w:b/>
          <w:bCs/>
          <w:color w:val="auto"/>
          <w:kern w:val="0"/>
          <w:highlight w:val="none"/>
        </w:rPr>
        <w:t>第十一条 合同的转让</w:t>
      </w:r>
    </w:p>
    <w:p w14:paraId="72EC7DB8">
      <w:pPr>
        <w:widowControl/>
        <w:shd w:val="clear" w:color="auto" w:fill="FFFFFF"/>
        <w:spacing w:line="360" w:lineRule="auto"/>
        <w:ind w:firstLine="420"/>
        <w:jc w:val="left"/>
        <w:rPr>
          <w:rFonts w:ascii="宋体" w:hAnsi="宋体"/>
          <w:color w:val="auto"/>
          <w:kern w:val="0"/>
          <w:highlight w:val="none"/>
        </w:rPr>
      </w:pPr>
      <w:r>
        <w:rPr>
          <w:rFonts w:hint="eastAsia" w:ascii="宋体" w:hAnsi="宋体"/>
          <w:color w:val="auto"/>
          <w:kern w:val="0"/>
          <w:highlight w:val="none"/>
        </w:rPr>
        <w:t>乙方不得擅自部分或全部转让其应履行的合同义务。</w:t>
      </w:r>
    </w:p>
    <w:p w14:paraId="05A8165C">
      <w:pPr>
        <w:widowControl/>
        <w:shd w:val="clear" w:color="auto" w:fill="FFFFFF"/>
        <w:spacing w:line="360" w:lineRule="auto"/>
        <w:ind w:firstLine="420"/>
        <w:jc w:val="left"/>
        <w:rPr>
          <w:rFonts w:ascii="宋体" w:hAnsi="宋体"/>
          <w:color w:val="auto"/>
          <w:kern w:val="0"/>
          <w:highlight w:val="none"/>
        </w:rPr>
      </w:pPr>
      <w:r>
        <w:rPr>
          <w:rFonts w:hint="eastAsia" w:ascii="宋体" w:hAnsi="宋体"/>
          <w:b/>
          <w:bCs/>
          <w:color w:val="auto"/>
          <w:kern w:val="0"/>
          <w:highlight w:val="none"/>
        </w:rPr>
        <w:t>第十二条 争议的解决</w:t>
      </w:r>
    </w:p>
    <w:p w14:paraId="0C2819BB">
      <w:pPr>
        <w:widowControl/>
        <w:shd w:val="clear" w:color="auto" w:fill="FFFFFF"/>
        <w:spacing w:line="360" w:lineRule="auto"/>
        <w:ind w:firstLine="420"/>
        <w:jc w:val="left"/>
        <w:rPr>
          <w:rFonts w:ascii="宋体" w:hAnsi="宋体"/>
          <w:color w:val="auto"/>
          <w:kern w:val="0"/>
          <w:highlight w:val="none"/>
        </w:rPr>
      </w:pPr>
      <w:r>
        <w:rPr>
          <w:rFonts w:hint="eastAsia" w:ascii="宋体" w:hAnsi="宋体"/>
          <w:color w:val="auto"/>
          <w:kern w:val="0"/>
          <w:highlight w:val="none"/>
        </w:rPr>
        <w:t>1、因履行本合同引起的或与本合同有关的争议，甲、乙双方应首先通过友好协商解决，如果协商不能解决争议，则采取以下第（2）种方式解决争议：</w:t>
      </w:r>
    </w:p>
    <w:p w14:paraId="3FA7EFEB">
      <w:pPr>
        <w:widowControl/>
        <w:shd w:val="clear" w:color="auto" w:fill="FFFFFF"/>
        <w:spacing w:line="360" w:lineRule="auto"/>
        <w:ind w:firstLine="560"/>
        <w:jc w:val="left"/>
        <w:rPr>
          <w:rFonts w:ascii="宋体" w:hAnsi="宋体"/>
          <w:color w:val="auto"/>
          <w:kern w:val="0"/>
          <w:highlight w:val="none"/>
        </w:rPr>
      </w:pPr>
      <w:r>
        <w:rPr>
          <w:rFonts w:hint="eastAsia" w:ascii="宋体" w:hAnsi="宋体"/>
          <w:color w:val="auto"/>
          <w:kern w:val="0"/>
          <w:highlight w:val="none"/>
        </w:rPr>
        <w:t>（1）向甲方所在地有管辖权的人民法院提起诉讼；</w:t>
      </w:r>
    </w:p>
    <w:p w14:paraId="6534BC7A">
      <w:pPr>
        <w:widowControl/>
        <w:shd w:val="clear" w:color="auto" w:fill="FFFFFF"/>
        <w:spacing w:line="360" w:lineRule="auto"/>
        <w:ind w:firstLine="560"/>
        <w:jc w:val="left"/>
        <w:rPr>
          <w:rFonts w:ascii="宋体" w:hAnsi="宋体"/>
          <w:color w:val="auto"/>
          <w:kern w:val="0"/>
          <w:highlight w:val="none"/>
        </w:rPr>
      </w:pPr>
      <w:r>
        <w:rPr>
          <w:rFonts w:hint="eastAsia" w:ascii="宋体" w:hAnsi="宋体"/>
          <w:color w:val="auto"/>
          <w:kern w:val="0"/>
          <w:highlight w:val="none"/>
        </w:rPr>
        <w:t>（2）向南京仲裁委员会按其仲裁规则申请仲裁。</w:t>
      </w:r>
    </w:p>
    <w:p w14:paraId="2BF9389A">
      <w:pPr>
        <w:widowControl/>
        <w:shd w:val="clear" w:color="auto" w:fill="FFFFFF"/>
        <w:spacing w:line="360" w:lineRule="auto"/>
        <w:ind w:firstLine="420"/>
        <w:jc w:val="left"/>
        <w:rPr>
          <w:rFonts w:ascii="宋体" w:hAnsi="宋体"/>
          <w:color w:val="auto"/>
          <w:kern w:val="0"/>
          <w:highlight w:val="none"/>
        </w:rPr>
      </w:pPr>
      <w:r>
        <w:rPr>
          <w:rFonts w:hint="eastAsia" w:ascii="宋体" w:hAnsi="宋体"/>
          <w:color w:val="auto"/>
          <w:kern w:val="0"/>
          <w:highlight w:val="none"/>
        </w:rPr>
        <w:t>2、在仲裁期间，本合同应继续履行。</w:t>
      </w:r>
    </w:p>
    <w:p w14:paraId="287944C4">
      <w:pPr>
        <w:widowControl/>
        <w:shd w:val="clear" w:color="auto" w:fill="FFFFFF"/>
        <w:spacing w:line="360" w:lineRule="auto"/>
        <w:ind w:firstLine="420"/>
        <w:jc w:val="left"/>
        <w:rPr>
          <w:rFonts w:ascii="宋体" w:hAnsi="宋体"/>
          <w:color w:val="auto"/>
          <w:kern w:val="0"/>
          <w:highlight w:val="none"/>
        </w:rPr>
      </w:pPr>
      <w:r>
        <w:rPr>
          <w:rFonts w:hint="eastAsia" w:ascii="宋体" w:hAnsi="宋体"/>
          <w:b/>
          <w:bCs/>
          <w:color w:val="auto"/>
          <w:kern w:val="0"/>
          <w:highlight w:val="none"/>
        </w:rPr>
        <w:t>第十三条 诚实信用</w:t>
      </w:r>
    </w:p>
    <w:p w14:paraId="206D0BE6">
      <w:pPr>
        <w:widowControl/>
        <w:shd w:val="clear" w:color="auto" w:fill="FFFFFF"/>
        <w:spacing w:line="360" w:lineRule="auto"/>
        <w:ind w:firstLine="420"/>
        <w:jc w:val="left"/>
        <w:rPr>
          <w:rFonts w:ascii="宋体" w:hAnsi="宋体"/>
          <w:color w:val="auto"/>
          <w:kern w:val="0"/>
          <w:highlight w:val="none"/>
        </w:rPr>
      </w:pPr>
      <w:r>
        <w:rPr>
          <w:rFonts w:hint="eastAsia" w:ascii="宋体" w:hAnsi="宋体"/>
          <w:color w:val="auto"/>
          <w:kern w:val="0"/>
          <w:highlight w:val="none"/>
        </w:rPr>
        <w:t>乙方应诚实信用，严格按照采购文件要求和承诺履行合同，不向甲方进行商业贿赂或者提供不正当利益。</w:t>
      </w:r>
    </w:p>
    <w:p w14:paraId="1229FC0D">
      <w:pPr>
        <w:widowControl/>
        <w:shd w:val="clear" w:color="auto" w:fill="FFFFFF"/>
        <w:spacing w:line="360" w:lineRule="auto"/>
        <w:ind w:firstLine="420"/>
        <w:jc w:val="left"/>
        <w:rPr>
          <w:rFonts w:ascii="宋体" w:hAnsi="宋体"/>
          <w:color w:val="auto"/>
          <w:kern w:val="0"/>
          <w:highlight w:val="none"/>
        </w:rPr>
      </w:pPr>
      <w:r>
        <w:rPr>
          <w:rFonts w:hint="eastAsia" w:ascii="宋体" w:hAnsi="宋体"/>
          <w:b/>
          <w:bCs/>
          <w:color w:val="auto"/>
          <w:kern w:val="0"/>
          <w:highlight w:val="none"/>
        </w:rPr>
        <w:t>第十四条 合同生效及其他</w:t>
      </w:r>
    </w:p>
    <w:p w14:paraId="78BC18FC">
      <w:pPr>
        <w:widowControl/>
        <w:shd w:val="clear" w:color="auto" w:fill="FFFFFF"/>
        <w:spacing w:line="360" w:lineRule="auto"/>
        <w:ind w:firstLine="420"/>
        <w:jc w:val="left"/>
        <w:rPr>
          <w:rFonts w:ascii="宋体" w:hAnsi="宋体"/>
          <w:color w:val="auto"/>
          <w:kern w:val="0"/>
          <w:highlight w:val="none"/>
        </w:rPr>
      </w:pPr>
      <w:r>
        <w:rPr>
          <w:rFonts w:hint="eastAsia" w:ascii="宋体" w:hAnsi="宋体"/>
          <w:color w:val="auto"/>
          <w:kern w:val="0"/>
          <w:highlight w:val="none"/>
        </w:rPr>
        <w:t>1、</w:t>
      </w:r>
      <w:r>
        <w:rPr>
          <w:rFonts w:hint="eastAsia" w:ascii="宋体" w:hAnsi="宋体" w:eastAsia="宋体" w:cs="宋体"/>
          <w:szCs w:val="21"/>
        </w:rPr>
        <w:t>本合同自</w:t>
      </w:r>
      <w:r>
        <w:rPr>
          <w:rFonts w:hint="eastAsia" w:ascii="宋体" w:hAnsi="宋体" w:eastAsia="宋体" w:cs="宋体"/>
          <w:color w:val="000000"/>
          <w:szCs w:val="21"/>
          <w:lang w:eastAsia="zh-Hans"/>
        </w:rPr>
        <w:t>签字盖章</w:t>
      </w:r>
      <w:r>
        <w:rPr>
          <w:rFonts w:hint="eastAsia" w:ascii="宋体" w:hAnsi="宋体" w:eastAsia="宋体" w:cs="宋体"/>
          <w:szCs w:val="21"/>
        </w:rPr>
        <w:t>之日起生效</w:t>
      </w:r>
      <w:r>
        <w:rPr>
          <w:rFonts w:hint="eastAsia" w:ascii="宋体" w:hAnsi="宋体" w:eastAsia="宋体" w:cs="宋体"/>
          <w:color w:val="000000"/>
          <w:szCs w:val="21"/>
        </w:rPr>
        <w:t>，合同履行期限</w:t>
      </w:r>
      <w:r>
        <w:rPr>
          <w:rFonts w:hint="eastAsia" w:ascii="宋体" w:hAnsi="宋体" w:eastAsia="宋体" w:cs="宋体"/>
          <w:color w:val="000000"/>
          <w:szCs w:val="21"/>
          <w:lang w:eastAsia="zh-Hans"/>
        </w:rPr>
        <w:t>为</w:t>
      </w:r>
      <w:r>
        <w:rPr>
          <w:rFonts w:hint="eastAsia" w:ascii="宋体" w:hAnsi="宋体" w:cs="宋体"/>
          <w:color w:val="000000"/>
          <w:szCs w:val="21"/>
          <w:lang w:eastAsia="zh-CN"/>
        </w:rPr>
        <w:t>自合同签订之日起1年</w:t>
      </w:r>
      <w:r>
        <w:rPr>
          <w:rFonts w:hint="eastAsia" w:ascii="宋体" w:hAnsi="宋体"/>
          <w:color w:val="auto"/>
          <w:kern w:val="0"/>
          <w:highlight w:val="none"/>
        </w:rPr>
        <w:t>。</w:t>
      </w:r>
    </w:p>
    <w:p w14:paraId="49002B75">
      <w:pPr>
        <w:widowControl/>
        <w:shd w:val="clear" w:color="auto" w:fill="FFFFFF"/>
        <w:spacing w:line="360" w:lineRule="auto"/>
        <w:ind w:firstLine="420"/>
        <w:jc w:val="left"/>
        <w:rPr>
          <w:rFonts w:ascii="宋体" w:hAnsi="宋体"/>
          <w:color w:val="auto"/>
          <w:kern w:val="0"/>
          <w:highlight w:val="none"/>
        </w:rPr>
      </w:pPr>
      <w:r>
        <w:rPr>
          <w:rFonts w:hint="eastAsia" w:ascii="宋体" w:hAnsi="宋体"/>
          <w:color w:val="auto"/>
          <w:kern w:val="0"/>
          <w:highlight w:val="none"/>
        </w:rPr>
        <w:t>2、本合同一式肆份，甲乙双方各执贰份。</w:t>
      </w:r>
    </w:p>
    <w:p w14:paraId="294A9F2E">
      <w:pPr>
        <w:widowControl/>
        <w:shd w:val="clear" w:color="auto" w:fill="FFFFFF"/>
        <w:spacing w:line="360" w:lineRule="auto"/>
        <w:ind w:firstLine="420"/>
        <w:jc w:val="left"/>
        <w:rPr>
          <w:rFonts w:ascii="宋体" w:hAnsi="宋体"/>
          <w:color w:val="auto"/>
          <w:kern w:val="0"/>
          <w:highlight w:val="none"/>
        </w:rPr>
      </w:pPr>
      <w:r>
        <w:rPr>
          <w:rFonts w:hint="eastAsia" w:ascii="宋体" w:hAnsi="宋体"/>
          <w:color w:val="auto"/>
          <w:kern w:val="0"/>
          <w:highlight w:val="none"/>
        </w:rPr>
        <w:t>3、本合同应按照中华人民共和国的现行法律进行解释。</w:t>
      </w:r>
    </w:p>
    <w:p w14:paraId="7E170A77">
      <w:pPr>
        <w:widowControl/>
        <w:shd w:val="clear" w:color="auto" w:fill="FFFFFF"/>
        <w:spacing w:line="360" w:lineRule="auto"/>
        <w:ind w:firstLine="420"/>
        <w:jc w:val="left"/>
        <w:rPr>
          <w:rFonts w:ascii="宋体" w:hAnsi="宋体"/>
          <w:color w:val="auto"/>
          <w:kern w:val="0"/>
          <w:highlight w:val="none"/>
        </w:rPr>
      </w:pPr>
      <w:r>
        <w:rPr>
          <w:rFonts w:hint="eastAsia" w:ascii="宋体" w:hAnsi="宋体"/>
          <w:color w:val="auto"/>
          <w:kern w:val="0"/>
          <w:highlight w:val="none"/>
        </w:rPr>
        <w:t xml:space="preserve"> </w:t>
      </w:r>
    </w:p>
    <w:tbl>
      <w:tblPr>
        <w:tblStyle w:val="46"/>
        <w:tblW w:w="0" w:type="auto"/>
        <w:tblInd w:w="0" w:type="dxa"/>
        <w:tblLayout w:type="fixed"/>
        <w:tblCellMar>
          <w:top w:w="0" w:type="dxa"/>
          <w:left w:w="108" w:type="dxa"/>
          <w:bottom w:w="0" w:type="dxa"/>
          <w:right w:w="108" w:type="dxa"/>
        </w:tblCellMar>
      </w:tblPr>
      <w:tblGrid>
        <w:gridCol w:w="4643"/>
        <w:gridCol w:w="4643"/>
      </w:tblGrid>
      <w:tr w14:paraId="18ADF3D3">
        <w:tblPrEx>
          <w:tblCellMar>
            <w:top w:w="0" w:type="dxa"/>
            <w:left w:w="108" w:type="dxa"/>
            <w:bottom w:w="0" w:type="dxa"/>
            <w:right w:w="108" w:type="dxa"/>
          </w:tblCellMar>
        </w:tblPrEx>
        <w:trPr>
          <w:trHeight w:val="257" w:hRule="atLeast"/>
        </w:trPr>
        <w:tc>
          <w:tcPr>
            <w:tcW w:w="4643" w:type="dxa"/>
            <w:tcBorders>
              <w:top w:val="nil"/>
              <w:left w:val="nil"/>
              <w:bottom w:val="nil"/>
              <w:right w:val="nil"/>
            </w:tcBorders>
            <w:noWrap w:val="0"/>
            <w:vAlign w:val="center"/>
          </w:tcPr>
          <w:p w14:paraId="6DABA43A">
            <w:pPr>
              <w:widowControl/>
              <w:shd w:val="clear" w:color="auto" w:fill="FFFFFF"/>
              <w:spacing w:line="360" w:lineRule="auto"/>
              <w:ind w:firstLine="420"/>
              <w:jc w:val="left"/>
              <w:rPr>
                <w:rFonts w:ascii="宋体" w:hAnsi="宋体"/>
                <w:color w:val="auto"/>
                <w:kern w:val="0"/>
                <w:highlight w:val="none"/>
              </w:rPr>
            </w:pPr>
            <w:r>
              <w:rPr>
                <w:rFonts w:hint="eastAsia" w:ascii="宋体" w:hAnsi="宋体"/>
                <w:color w:val="auto"/>
                <w:kern w:val="0"/>
                <w:highlight w:val="none"/>
              </w:rPr>
              <w:t>甲方（委托方）：（盖章）</w:t>
            </w:r>
          </w:p>
        </w:tc>
        <w:tc>
          <w:tcPr>
            <w:tcW w:w="4643" w:type="dxa"/>
            <w:tcBorders>
              <w:top w:val="nil"/>
              <w:left w:val="nil"/>
              <w:bottom w:val="nil"/>
              <w:right w:val="nil"/>
            </w:tcBorders>
            <w:noWrap w:val="0"/>
            <w:vAlign w:val="center"/>
          </w:tcPr>
          <w:p w14:paraId="7BDECF5F">
            <w:pPr>
              <w:widowControl/>
              <w:shd w:val="clear" w:color="auto" w:fill="FFFFFF"/>
              <w:spacing w:line="360" w:lineRule="auto"/>
              <w:ind w:firstLine="420"/>
              <w:jc w:val="left"/>
              <w:rPr>
                <w:rFonts w:ascii="宋体" w:hAnsi="宋体"/>
                <w:color w:val="auto"/>
                <w:kern w:val="0"/>
                <w:highlight w:val="none"/>
              </w:rPr>
            </w:pPr>
            <w:r>
              <w:rPr>
                <w:rFonts w:hint="eastAsia" w:ascii="宋体" w:hAnsi="宋体"/>
                <w:color w:val="auto"/>
                <w:kern w:val="0"/>
                <w:highlight w:val="none"/>
              </w:rPr>
              <w:t>乙方：（盖章）</w:t>
            </w:r>
          </w:p>
        </w:tc>
      </w:tr>
      <w:tr w14:paraId="31E58397">
        <w:tblPrEx>
          <w:tblCellMar>
            <w:top w:w="0" w:type="dxa"/>
            <w:left w:w="108" w:type="dxa"/>
            <w:bottom w:w="0" w:type="dxa"/>
            <w:right w:w="108" w:type="dxa"/>
          </w:tblCellMar>
        </w:tblPrEx>
        <w:trPr>
          <w:trHeight w:val="362" w:hRule="atLeast"/>
        </w:trPr>
        <w:tc>
          <w:tcPr>
            <w:tcW w:w="4643" w:type="dxa"/>
            <w:tcBorders>
              <w:top w:val="nil"/>
              <w:left w:val="nil"/>
              <w:bottom w:val="nil"/>
              <w:right w:val="nil"/>
            </w:tcBorders>
            <w:noWrap w:val="0"/>
            <w:vAlign w:val="center"/>
          </w:tcPr>
          <w:p w14:paraId="6420104C">
            <w:pPr>
              <w:widowControl/>
              <w:shd w:val="clear" w:color="auto" w:fill="FFFFFF"/>
              <w:spacing w:line="360" w:lineRule="auto"/>
              <w:ind w:firstLine="420"/>
              <w:jc w:val="left"/>
              <w:rPr>
                <w:rFonts w:ascii="宋体" w:hAnsi="宋体"/>
                <w:color w:val="auto"/>
                <w:kern w:val="0"/>
                <w:highlight w:val="none"/>
              </w:rPr>
            </w:pPr>
            <w:r>
              <w:rPr>
                <w:rFonts w:hint="eastAsia" w:ascii="宋体" w:hAnsi="宋体"/>
                <w:color w:val="auto"/>
                <w:kern w:val="0"/>
                <w:highlight w:val="none"/>
              </w:rPr>
              <w:t>法定代表人：</w:t>
            </w:r>
          </w:p>
        </w:tc>
        <w:tc>
          <w:tcPr>
            <w:tcW w:w="4643" w:type="dxa"/>
            <w:tcBorders>
              <w:top w:val="nil"/>
              <w:left w:val="nil"/>
              <w:bottom w:val="nil"/>
              <w:right w:val="nil"/>
            </w:tcBorders>
            <w:noWrap w:val="0"/>
            <w:vAlign w:val="center"/>
          </w:tcPr>
          <w:p w14:paraId="7C242D34">
            <w:pPr>
              <w:widowControl/>
              <w:shd w:val="clear" w:color="auto" w:fill="FFFFFF"/>
              <w:spacing w:line="360" w:lineRule="auto"/>
              <w:ind w:firstLine="420"/>
              <w:jc w:val="left"/>
              <w:rPr>
                <w:rFonts w:ascii="宋体" w:hAnsi="宋体"/>
                <w:color w:val="auto"/>
                <w:kern w:val="0"/>
                <w:highlight w:val="none"/>
              </w:rPr>
            </w:pPr>
            <w:r>
              <w:rPr>
                <w:rFonts w:hint="eastAsia" w:ascii="宋体" w:hAnsi="宋体"/>
                <w:color w:val="auto"/>
                <w:kern w:val="0"/>
                <w:highlight w:val="none"/>
              </w:rPr>
              <w:t>法定或委托代表人：</w:t>
            </w:r>
          </w:p>
        </w:tc>
      </w:tr>
      <w:tr w14:paraId="28A4A680">
        <w:tblPrEx>
          <w:tblCellMar>
            <w:top w:w="0" w:type="dxa"/>
            <w:left w:w="108" w:type="dxa"/>
            <w:bottom w:w="0" w:type="dxa"/>
            <w:right w:w="108" w:type="dxa"/>
          </w:tblCellMar>
        </w:tblPrEx>
        <w:trPr>
          <w:trHeight w:val="251" w:hRule="atLeast"/>
        </w:trPr>
        <w:tc>
          <w:tcPr>
            <w:tcW w:w="4643" w:type="dxa"/>
            <w:tcBorders>
              <w:top w:val="nil"/>
              <w:left w:val="nil"/>
              <w:bottom w:val="nil"/>
              <w:right w:val="nil"/>
            </w:tcBorders>
            <w:noWrap w:val="0"/>
            <w:vAlign w:val="center"/>
          </w:tcPr>
          <w:p w14:paraId="77756791">
            <w:pPr>
              <w:widowControl/>
              <w:shd w:val="clear" w:color="auto" w:fill="FFFFFF"/>
              <w:spacing w:line="360" w:lineRule="auto"/>
              <w:ind w:firstLine="420"/>
              <w:jc w:val="left"/>
              <w:rPr>
                <w:rFonts w:ascii="宋体" w:hAnsi="宋体"/>
                <w:color w:val="auto"/>
                <w:kern w:val="0"/>
                <w:highlight w:val="none"/>
              </w:rPr>
            </w:pPr>
            <w:r>
              <w:rPr>
                <w:rFonts w:hint="eastAsia" w:ascii="宋体" w:hAnsi="宋体"/>
                <w:color w:val="auto"/>
                <w:kern w:val="0"/>
                <w:highlight w:val="none"/>
              </w:rPr>
              <w:t>电话：</w:t>
            </w:r>
          </w:p>
        </w:tc>
        <w:tc>
          <w:tcPr>
            <w:tcW w:w="4643" w:type="dxa"/>
            <w:tcBorders>
              <w:top w:val="nil"/>
              <w:left w:val="nil"/>
              <w:bottom w:val="nil"/>
              <w:right w:val="nil"/>
            </w:tcBorders>
            <w:noWrap w:val="0"/>
            <w:vAlign w:val="center"/>
          </w:tcPr>
          <w:p w14:paraId="354B5669">
            <w:pPr>
              <w:widowControl/>
              <w:shd w:val="clear" w:color="auto" w:fill="FFFFFF"/>
              <w:spacing w:line="360" w:lineRule="auto"/>
              <w:ind w:firstLine="420"/>
              <w:jc w:val="left"/>
              <w:rPr>
                <w:rFonts w:ascii="宋体" w:hAnsi="宋体"/>
                <w:color w:val="auto"/>
                <w:kern w:val="0"/>
                <w:highlight w:val="none"/>
              </w:rPr>
            </w:pPr>
            <w:r>
              <w:rPr>
                <w:rFonts w:hint="eastAsia" w:ascii="宋体" w:hAnsi="宋体"/>
                <w:color w:val="auto"/>
                <w:kern w:val="0"/>
                <w:highlight w:val="none"/>
              </w:rPr>
              <w:t>电话：</w:t>
            </w:r>
          </w:p>
        </w:tc>
      </w:tr>
      <w:tr w14:paraId="7E153AF2">
        <w:tblPrEx>
          <w:tblCellMar>
            <w:top w:w="0" w:type="dxa"/>
            <w:left w:w="108" w:type="dxa"/>
            <w:bottom w:w="0" w:type="dxa"/>
            <w:right w:w="108" w:type="dxa"/>
          </w:tblCellMar>
        </w:tblPrEx>
        <w:trPr>
          <w:trHeight w:val="283" w:hRule="atLeast"/>
        </w:trPr>
        <w:tc>
          <w:tcPr>
            <w:tcW w:w="4643" w:type="dxa"/>
            <w:tcBorders>
              <w:top w:val="nil"/>
              <w:left w:val="nil"/>
              <w:bottom w:val="nil"/>
              <w:right w:val="nil"/>
            </w:tcBorders>
            <w:noWrap w:val="0"/>
            <w:vAlign w:val="center"/>
          </w:tcPr>
          <w:p w14:paraId="099A5ACA">
            <w:pPr>
              <w:widowControl/>
              <w:shd w:val="clear" w:color="auto" w:fill="FFFFFF"/>
              <w:spacing w:line="360" w:lineRule="auto"/>
              <w:ind w:firstLine="420"/>
              <w:jc w:val="left"/>
              <w:rPr>
                <w:rFonts w:ascii="宋体" w:hAnsi="宋体"/>
                <w:color w:val="auto"/>
                <w:kern w:val="0"/>
                <w:highlight w:val="none"/>
              </w:rPr>
            </w:pPr>
            <w:r>
              <w:rPr>
                <w:rFonts w:hint="eastAsia" w:ascii="宋体" w:hAnsi="宋体"/>
                <w:color w:val="auto"/>
                <w:kern w:val="0"/>
                <w:highlight w:val="none"/>
              </w:rPr>
              <w:t>开户银行：</w:t>
            </w:r>
          </w:p>
        </w:tc>
        <w:tc>
          <w:tcPr>
            <w:tcW w:w="4643" w:type="dxa"/>
            <w:tcBorders>
              <w:top w:val="nil"/>
              <w:left w:val="nil"/>
              <w:bottom w:val="nil"/>
              <w:right w:val="nil"/>
            </w:tcBorders>
            <w:noWrap w:val="0"/>
            <w:vAlign w:val="center"/>
          </w:tcPr>
          <w:p w14:paraId="77BDCEB4">
            <w:pPr>
              <w:widowControl/>
              <w:shd w:val="clear" w:color="auto" w:fill="FFFFFF"/>
              <w:spacing w:line="360" w:lineRule="auto"/>
              <w:ind w:firstLine="420"/>
              <w:jc w:val="left"/>
              <w:rPr>
                <w:rFonts w:ascii="宋体" w:hAnsi="宋体"/>
                <w:color w:val="auto"/>
                <w:kern w:val="0"/>
                <w:highlight w:val="none"/>
              </w:rPr>
            </w:pPr>
            <w:r>
              <w:rPr>
                <w:rFonts w:hint="eastAsia" w:ascii="宋体" w:hAnsi="宋体"/>
                <w:color w:val="auto"/>
                <w:kern w:val="0"/>
                <w:highlight w:val="none"/>
              </w:rPr>
              <w:t>开户银行：</w:t>
            </w:r>
          </w:p>
        </w:tc>
      </w:tr>
      <w:tr w14:paraId="25B253E4">
        <w:tblPrEx>
          <w:tblCellMar>
            <w:top w:w="0" w:type="dxa"/>
            <w:left w:w="108" w:type="dxa"/>
            <w:bottom w:w="0" w:type="dxa"/>
            <w:right w:w="108" w:type="dxa"/>
          </w:tblCellMar>
        </w:tblPrEx>
        <w:trPr>
          <w:trHeight w:val="315" w:hRule="atLeast"/>
        </w:trPr>
        <w:tc>
          <w:tcPr>
            <w:tcW w:w="4643" w:type="dxa"/>
            <w:tcBorders>
              <w:top w:val="nil"/>
              <w:left w:val="nil"/>
              <w:bottom w:val="nil"/>
              <w:right w:val="nil"/>
            </w:tcBorders>
            <w:noWrap w:val="0"/>
            <w:vAlign w:val="center"/>
          </w:tcPr>
          <w:p w14:paraId="3DF261B1">
            <w:pPr>
              <w:widowControl/>
              <w:shd w:val="clear" w:color="auto" w:fill="FFFFFF"/>
              <w:spacing w:line="360" w:lineRule="auto"/>
              <w:ind w:firstLine="420"/>
              <w:jc w:val="left"/>
              <w:rPr>
                <w:rFonts w:ascii="宋体" w:hAnsi="宋体"/>
                <w:color w:val="auto"/>
                <w:kern w:val="0"/>
                <w:highlight w:val="none"/>
              </w:rPr>
            </w:pPr>
            <w:r>
              <w:rPr>
                <w:rFonts w:hint="eastAsia" w:ascii="宋体" w:hAnsi="宋体"/>
                <w:color w:val="auto"/>
                <w:kern w:val="0"/>
                <w:highlight w:val="none"/>
              </w:rPr>
              <w:t>账号：</w:t>
            </w:r>
          </w:p>
        </w:tc>
        <w:tc>
          <w:tcPr>
            <w:tcW w:w="4643" w:type="dxa"/>
            <w:tcBorders>
              <w:top w:val="nil"/>
              <w:left w:val="nil"/>
              <w:bottom w:val="nil"/>
              <w:right w:val="nil"/>
            </w:tcBorders>
            <w:noWrap w:val="0"/>
            <w:vAlign w:val="center"/>
          </w:tcPr>
          <w:p w14:paraId="3D7DE5F9">
            <w:pPr>
              <w:widowControl/>
              <w:shd w:val="clear" w:color="auto" w:fill="FFFFFF"/>
              <w:spacing w:line="360" w:lineRule="auto"/>
              <w:ind w:firstLine="420"/>
              <w:jc w:val="left"/>
              <w:rPr>
                <w:rFonts w:ascii="宋体" w:hAnsi="宋体"/>
                <w:color w:val="auto"/>
                <w:kern w:val="0"/>
                <w:highlight w:val="none"/>
              </w:rPr>
            </w:pPr>
            <w:r>
              <w:rPr>
                <w:rFonts w:hint="eastAsia" w:ascii="宋体" w:hAnsi="宋体"/>
                <w:color w:val="auto"/>
                <w:kern w:val="0"/>
                <w:highlight w:val="none"/>
              </w:rPr>
              <w:t>账号：</w:t>
            </w:r>
          </w:p>
        </w:tc>
      </w:tr>
      <w:tr w14:paraId="7BF032DE">
        <w:tblPrEx>
          <w:tblCellMar>
            <w:top w:w="0" w:type="dxa"/>
            <w:left w:w="108" w:type="dxa"/>
            <w:bottom w:w="0" w:type="dxa"/>
            <w:right w:w="108" w:type="dxa"/>
          </w:tblCellMar>
        </w:tblPrEx>
        <w:trPr>
          <w:trHeight w:val="572" w:hRule="atLeast"/>
        </w:trPr>
        <w:tc>
          <w:tcPr>
            <w:tcW w:w="4643" w:type="dxa"/>
            <w:tcBorders>
              <w:top w:val="nil"/>
              <w:left w:val="nil"/>
              <w:bottom w:val="nil"/>
              <w:right w:val="nil"/>
            </w:tcBorders>
            <w:noWrap w:val="0"/>
            <w:vAlign w:val="center"/>
          </w:tcPr>
          <w:p w14:paraId="6ADE5E26">
            <w:pPr>
              <w:widowControl/>
              <w:shd w:val="clear" w:color="auto" w:fill="FFFFFF"/>
              <w:spacing w:line="360" w:lineRule="auto"/>
              <w:ind w:firstLine="420"/>
              <w:jc w:val="left"/>
              <w:rPr>
                <w:rFonts w:ascii="宋体" w:hAnsi="宋体"/>
                <w:color w:val="auto"/>
                <w:kern w:val="0"/>
                <w:highlight w:val="none"/>
              </w:rPr>
            </w:pPr>
            <w:r>
              <w:rPr>
                <w:rFonts w:hint="eastAsia" w:ascii="宋体" w:hAnsi="宋体"/>
                <w:color w:val="auto"/>
                <w:kern w:val="0"/>
                <w:highlight w:val="none"/>
              </w:rPr>
              <w:t>日期：年月日</w:t>
            </w:r>
          </w:p>
        </w:tc>
        <w:tc>
          <w:tcPr>
            <w:tcW w:w="4643" w:type="dxa"/>
            <w:tcBorders>
              <w:top w:val="nil"/>
              <w:left w:val="nil"/>
              <w:bottom w:val="nil"/>
              <w:right w:val="nil"/>
            </w:tcBorders>
            <w:noWrap w:val="0"/>
            <w:vAlign w:val="center"/>
          </w:tcPr>
          <w:p w14:paraId="2156DD4B">
            <w:pPr>
              <w:widowControl/>
              <w:shd w:val="clear" w:color="auto" w:fill="FFFFFF"/>
              <w:spacing w:line="360" w:lineRule="auto"/>
              <w:ind w:firstLine="420"/>
              <w:jc w:val="left"/>
              <w:rPr>
                <w:rFonts w:ascii="宋体" w:hAnsi="宋体"/>
                <w:color w:val="auto"/>
                <w:kern w:val="0"/>
                <w:highlight w:val="none"/>
              </w:rPr>
            </w:pPr>
            <w:r>
              <w:rPr>
                <w:rFonts w:hint="eastAsia" w:ascii="宋体" w:hAnsi="宋体"/>
                <w:color w:val="auto"/>
                <w:kern w:val="0"/>
                <w:highlight w:val="none"/>
              </w:rPr>
              <w:t>日期：年月日</w:t>
            </w:r>
          </w:p>
        </w:tc>
      </w:tr>
    </w:tbl>
    <w:p w14:paraId="3F20F590">
      <w:pPr>
        <w:pStyle w:val="42"/>
        <w:spacing w:before="0" w:beforeAutospacing="0" w:after="0" w:afterAutospacing="0" w:line="276" w:lineRule="auto"/>
        <w:rPr>
          <w:rFonts w:hint="eastAsia"/>
          <w:highlight w:val="none"/>
        </w:rPr>
      </w:pPr>
    </w:p>
    <w:p w14:paraId="4F5D19C5">
      <w:pPr>
        <w:widowControl/>
        <w:jc w:val="left"/>
        <w:rPr>
          <w:rFonts w:hint="eastAsia" w:ascii="宋体" w:hAnsi="宋体" w:cs="宋体"/>
          <w:b/>
          <w:bCs/>
          <w:kern w:val="44"/>
          <w:sz w:val="32"/>
          <w:szCs w:val="44"/>
        </w:rPr>
      </w:pPr>
      <w:r>
        <w:rPr>
          <w:rFonts w:hint="eastAsia" w:ascii="宋体" w:hAnsi="宋体" w:cs="宋体"/>
        </w:rPr>
        <w:br w:type="page"/>
      </w:r>
    </w:p>
    <w:p w14:paraId="5066499F">
      <w:pPr>
        <w:pStyle w:val="2"/>
        <w:numPr>
          <w:ilvl w:val="0"/>
          <w:numId w:val="8"/>
        </w:numPr>
        <w:ind w:left="0"/>
        <w:rPr>
          <w:rFonts w:hint="eastAsia" w:ascii="宋体" w:hAnsi="宋体" w:cs="宋体"/>
        </w:rPr>
      </w:pPr>
      <w:bookmarkStart w:id="20" w:name="_Toc2050"/>
      <w:r>
        <w:rPr>
          <w:rFonts w:hint="eastAsia" w:ascii="宋体" w:hAnsi="宋体" w:cs="宋体"/>
        </w:rPr>
        <w:t>投标文件格式及附件</w:t>
      </w:r>
      <w:bookmarkEnd w:id="19"/>
      <w:bookmarkEnd w:id="20"/>
    </w:p>
    <w:p w14:paraId="2DE0CDB1">
      <w:pPr>
        <w:pStyle w:val="56"/>
        <w:ind w:firstLine="0" w:firstLineChars="0"/>
        <w:rPr>
          <w:rFonts w:hint="eastAsia" w:asciiTheme="minorEastAsia" w:hAnsiTheme="minorEastAsia" w:eastAsiaTheme="minorEastAsia" w:cstheme="minorEastAsia"/>
        </w:rPr>
      </w:pPr>
    </w:p>
    <w:p w14:paraId="24133EE3">
      <w:pPr>
        <w:widowControl/>
        <w:adjustRightInd w:val="0"/>
        <w:spacing w:line="240" w:lineRule="atLeast"/>
        <w:jc w:val="left"/>
        <w:rPr>
          <w:rFonts w:hint="eastAsia" w:ascii="宋体" w:hAnsi="宋体" w:cs="宋体"/>
          <w:b/>
          <w:bCs/>
          <w:szCs w:val="21"/>
        </w:rPr>
      </w:pPr>
    </w:p>
    <w:p w14:paraId="6DB46176">
      <w:pPr>
        <w:spacing w:line="440" w:lineRule="exact"/>
        <w:rPr>
          <w:rFonts w:hint="eastAsia" w:ascii="宋体" w:hAnsi="宋体" w:cs="宋体"/>
          <w:sz w:val="20"/>
          <w:szCs w:val="20"/>
        </w:rPr>
      </w:pPr>
    </w:p>
    <w:p w14:paraId="48946221">
      <w:pPr>
        <w:spacing w:line="440" w:lineRule="exact"/>
        <w:rPr>
          <w:rFonts w:hint="eastAsia" w:ascii="宋体" w:hAnsi="宋体" w:cs="宋体"/>
          <w:sz w:val="20"/>
          <w:szCs w:val="20"/>
        </w:rPr>
      </w:pPr>
    </w:p>
    <w:p w14:paraId="60119C11">
      <w:pPr>
        <w:spacing w:line="440" w:lineRule="exact"/>
        <w:rPr>
          <w:rFonts w:hint="eastAsia" w:ascii="宋体" w:hAnsi="宋体" w:cs="宋体"/>
          <w:sz w:val="20"/>
          <w:szCs w:val="20"/>
        </w:rPr>
      </w:pPr>
    </w:p>
    <w:p w14:paraId="6577CB81">
      <w:pPr>
        <w:rPr>
          <w:rFonts w:hint="eastAsia" w:ascii="宋体" w:hAnsi="宋体" w:cs="宋体"/>
          <w:sz w:val="22"/>
          <w:szCs w:val="22"/>
        </w:rPr>
      </w:pPr>
    </w:p>
    <w:p w14:paraId="6AC94D3F">
      <w:pPr>
        <w:rPr>
          <w:rFonts w:hint="eastAsia" w:ascii="宋体" w:hAnsi="宋体" w:cs="宋体"/>
          <w:sz w:val="22"/>
          <w:szCs w:val="22"/>
        </w:rPr>
      </w:pPr>
    </w:p>
    <w:p w14:paraId="4E3E52CF">
      <w:pPr>
        <w:jc w:val="center"/>
        <w:rPr>
          <w:rFonts w:hint="eastAsia" w:ascii="宋体" w:hAnsi="宋体" w:cs="宋体"/>
          <w:sz w:val="52"/>
          <w:szCs w:val="52"/>
        </w:rPr>
      </w:pPr>
      <w:r>
        <w:rPr>
          <w:rFonts w:hint="eastAsia" w:ascii="宋体" w:hAnsi="宋体" w:cs="宋体"/>
          <w:sz w:val="52"/>
          <w:szCs w:val="52"/>
        </w:rPr>
        <w:t>投标文件</w:t>
      </w:r>
    </w:p>
    <w:p w14:paraId="6390E0F1">
      <w:pPr>
        <w:rPr>
          <w:rFonts w:hint="eastAsia" w:ascii="宋体" w:hAnsi="宋体" w:cs="宋体"/>
          <w:sz w:val="36"/>
          <w:szCs w:val="36"/>
        </w:rPr>
      </w:pPr>
    </w:p>
    <w:p w14:paraId="54C48E45">
      <w:pPr>
        <w:rPr>
          <w:rFonts w:hint="eastAsia" w:ascii="宋体" w:hAnsi="宋体" w:cs="宋体"/>
          <w:sz w:val="36"/>
          <w:szCs w:val="36"/>
        </w:rPr>
      </w:pPr>
    </w:p>
    <w:p w14:paraId="5CA2FCFC">
      <w:pPr>
        <w:rPr>
          <w:rFonts w:hint="eastAsia" w:ascii="宋体" w:hAnsi="宋体" w:cs="宋体"/>
          <w:sz w:val="36"/>
          <w:szCs w:val="36"/>
        </w:rPr>
      </w:pPr>
    </w:p>
    <w:p w14:paraId="2E77FF14">
      <w:pPr>
        <w:ind w:firstLine="720" w:firstLineChars="200"/>
        <w:rPr>
          <w:rFonts w:hint="eastAsia" w:ascii="宋体" w:hAnsi="宋体" w:cs="宋体"/>
          <w:sz w:val="36"/>
          <w:szCs w:val="36"/>
        </w:rPr>
      </w:pPr>
      <w:r>
        <w:rPr>
          <w:rFonts w:hint="eastAsia" w:ascii="宋体" w:hAnsi="宋体" w:cs="宋体"/>
          <w:sz w:val="36"/>
          <w:szCs w:val="36"/>
        </w:rPr>
        <w:t>项目名称：</w:t>
      </w:r>
    </w:p>
    <w:p w14:paraId="6BC0F41E">
      <w:pPr>
        <w:ind w:firstLine="720" w:firstLineChars="200"/>
        <w:rPr>
          <w:rFonts w:hint="eastAsia" w:ascii="宋体" w:hAnsi="宋体" w:cs="宋体"/>
          <w:sz w:val="36"/>
          <w:szCs w:val="36"/>
        </w:rPr>
      </w:pPr>
      <w:r>
        <w:rPr>
          <w:rFonts w:hint="eastAsia" w:ascii="宋体" w:hAnsi="宋体" w:cs="宋体"/>
          <w:sz w:val="36"/>
          <w:szCs w:val="36"/>
        </w:rPr>
        <w:t>招标编号：</w:t>
      </w:r>
    </w:p>
    <w:p w14:paraId="53A5B62A">
      <w:pPr>
        <w:ind w:firstLine="720" w:firstLineChars="200"/>
        <w:rPr>
          <w:rFonts w:hint="eastAsia" w:ascii="宋体" w:hAnsi="宋体" w:cs="宋体"/>
          <w:sz w:val="36"/>
          <w:szCs w:val="36"/>
          <w:u w:val="single"/>
        </w:rPr>
      </w:pPr>
      <w:r>
        <w:rPr>
          <w:rFonts w:hint="eastAsia" w:ascii="宋体" w:hAnsi="宋体" w:cs="宋体"/>
          <w:sz w:val="36"/>
          <w:szCs w:val="36"/>
        </w:rPr>
        <w:t>投标人名称：（加盖电子公章）</w:t>
      </w:r>
    </w:p>
    <w:p w14:paraId="12609B04">
      <w:pPr>
        <w:widowControl/>
        <w:ind w:firstLine="720" w:firstLineChars="200"/>
        <w:jc w:val="left"/>
        <w:rPr>
          <w:rFonts w:hint="eastAsia" w:ascii="宋体" w:hAnsi="宋体" w:cs="宋体"/>
          <w:sz w:val="28"/>
          <w:szCs w:val="28"/>
        </w:rPr>
      </w:pPr>
      <w:r>
        <w:rPr>
          <w:rFonts w:hint="eastAsia" w:ascii="宋体" w:hAnsi="宋体" w:cs="宋体"/>
          <w:sz w:val="36"/>
          <w:szCs w:val="36"/>
        </w:rPr>
        <w:t>日期：</w:t>
      </w:r>
      <w:r>
        <w:rPr>
          <w:rFonts w:hint="eastAsia" w:ascii="宋体" w:hAnsi="宋体" w:cs="宋体"/>
          <w:sz w:val="28"/>
          <w:szCs w:val="28"/>
        </w:rPr>
        <w:br w:type="page"/>
      </w:r>
    </w:p>
    <w:p w14:paraId="0B7BA84D">
      <w:pPr>
        <w:spacing w:before="312" w:beforeLines="100" w:after="312" w:afterLines="100"/>
        <w:jc w:val="center"/>
        <w:rPr>
          <w:rFonts w:hint="eastAsia" w:ascii="宋体" w:hAnsi="宋体" w:cs="宋体"/>
          <w:sz w:val="32"/>
          <w:szCs w:val="32"/>
        </w:rPr>
      </w:pPr>
      <w:r>
        <w:rPr>
          <w:rFonts w:hint="eastAsia" w:ascii="宋体" w:hAnsi="宋体" w:cs="宋体"/>
          <w:sz w:val="32"/>
          <w:szCs w:val="32"/>
        </w:rPr>
        <w:t>目录</w:t>
      </w:r>
    </w:p>
    <w:p w14:paraId="31727DC8">
      <w:pPr>
        <w:jc w:val="center"/>
        <w:rPr>
          <w:rFonts w:hint="eastAsia" w:ascii="宋体" w:hAnsi="宋体" w:cs="宋体"/>
          <w:szCs w:val="21"/>
        </w:rPr>
      </w:pPr>
      <w:r>
        <w:rPr>
          <w:rFonts w:hint="eastAsia" w:ascii="宋体" w:hAnsi="宋体" w:cs="宋体"/>
          <w:szCs w:val="21"/>
        </w:rPr>
        <w:t>（注：供应商根据附件顺序编制投标文件并制作目录（须生成页码））</w:t>
      </w:r>
    </w:p>
    <w:p w14:paraId="4E118AAE">
      <w:pPr>
        <w:spacing w:line="440" w:lineRule="exact"/>
        <w:rPr>
          <w:rFonts w:hint="eastAsia" w:ascii="宋体" w:hAnsi="宋体" w:cs="宋体"/>
          <w:kern w:val="0"/>
          <w:szCs w:val="21"/>
        </w:rPr>
      </w:pPr>
      <w:r>
        <w:rPr>
          <w:rFonts w:hint="eastAsia" w:ascii="宋体" w:hAnsi="宋体" w:cs="宋体"/>
        </w:rPr>
        <w:br w:type="page"/>
      </w:r>
      <w:r>
        <w:rPr>
          <w:rFonts w:hint="eastAsia" w:ascii="宋体" w:hAnsi="宋体" w:cs="宋体"/>
          <w:b/>
          <w:bCs/>
          <w:kern w:val="0"/>
          <w:szCs w:val="21"/>
        </w:rPr>
        <w:t>附件一、投标申请及声明格式</w:t>
      </w:r>
    </w:p>
    <w:p w14:paraId="7291D7C3">
      <w:pPr>
        <w:widowControl/>
        <w:shd w:val="clear" w:color="auto" w:fill="FFFFFF"/>
        <w:spacing w:line="360" w:lineRule="auto"/>
        <w:jc w:val="center"/>
        <w:rPr>
          <w:rFonts w:hint="eastAsia" w:ascii="宋体" w:hAnsi="宋体" w:cs="宋体"/>
          <w:b/>
          <w:kern w:val="0"/>
          <w:szCs w:val="21"/>
        </w:rPr>
      </w:pPr>
      <w:r>
        <w:rPr>
          <w:rFonts w:hint="eastAsia" w:ascii="宋体" w:hAnsi="宋体" w:cs="宋体"/>
          <w:b/>
          <w:kern w:val="0"/>
          <w:sz w:val="36"/>
          <w:szCs w:val="36"/>
        </w:rPr>
        <w:t>投标申请及声明</w:t>
      </w:r>
    </w:p>
    <w:p w14:paraId="15C91EFE">
      <w:pPr>
        <w:widowControl/>
        <w:shd w:val="clear" w:color="auto" w:fill="FFFFFF"/>
        <w:spacing w:line="400" w:lineRule="exact"/>
        <w:rPr>
          <w:rFonts w:hint="eastAsia" w:ascii="宋体" w:hAnsi="宋体" w:cs="宋体"/>
          <w:kern w:val="0"/>
          <w:szCs w:val="21"/>
        </w:rPr>
      </w:pPr>
      <w:r>
        <w:rPr>
          <w:rFonts w:hint="eastAsia" w:ascii="宋体" w:hAnsi="宋体" w:cs="宋体"/>
          <w:kern w:val="0"/>
          <w:szCs w:val="21"/>
        </w:rPr>
        <w:t> 致：江苏省设备成套股份有限公司</w:t>
      </w:r>
    </w:p>
    <w:p w14:paraId="7ED1B3A5">
      <w:pPr>
        <w:widowControl/>
        <w:shd w:val="clear" w:color="auto" w:fill="FFFFFF"/>
        <w:spacing w:line="400" w:lineRule="exact"/>
        <w:ind w:firstLine="420"/>
        <w:rPr>
          <w:rFonts w:hint="eastAsia" w:ascii="宋体" w:hAnsi="宋体" w:cs="宋体"/>
          <w:kern w:val="0"/>
          <w:szCs w:val="21"/>
        </w:rPr>
      </w:pPr>
      <w:r>
        <w:rPr>
          <w:rFonts w:hint="eastAsia" w:ascii="宋体" w:hAnsi="宋体" w:cs="宋体"/>
          <w:kern w:val="0"/>
          <w:szCs w:val="21"/>
        </w:rPr>
        <w:t>根据贵方</w:t>
      </w:r>
      <w:r>
        <w:rPr>
          <w:rFonts w:hint="eastAsia" w:ascii="宋体" w:hAnsi="宋体" w:cs="宋体"/>
          <w:kern w:val="0"/>
          <w:szCs w:val="21"/>
          <w:u w:val="single"/>
        </w:rPr>
        <w:t>           （</w:t>
      </w:r>
      <w:r>
        <w:rPr>
          <w:rFonts w:hint="eastAsia" w:ascii="宋体" w:hAnsi="宋体" w:cs="宋体"/>
          <w:kern w:val="0"/>
          <w:szCs w:val="21"/>
        </w:rPr>
        <w:t>项目名称） </w:t>
      </w:r>
      <w:r>
        <w:rPr>
          <w:rFonts w:hint="eastAsia" w:ascii="宋体" w:hAnsi="宋体" w:cs="宋体"/>
          <w:kern w:val="0"/>
          <w:szCs w:val="21"/>
          <w:u w:val="single"/>
        </w:rPr>
        <w:t>       </w:t>
      </w:r>
      <w:r>
        <w:rPr>
          <w:rFonts w:hint="eastAsia" w:ascii="宋体" w:hAnsi="宋体" w:cs="宋体"/>
          <w:kern w:val="0"/>
          <w:szCs w:val="21"/>
        </w:rPr>
        <w:t>（项目编号）投标邀请，正式授权下述签字人</w:t>
      </w:r>
      <w:r>
        <w:rPr>
          <w:rFonts w:hint="eastAsia" w:ascii="宋体" w:hAnsi="宋体" w:cs="宋体"/>
          <w:kern w:val="0"/>
          <w:szCs w:val="21"/>
          <w:u w:val="single"/>
        </w:rPr>
        <w:t>           （</w:t>
      </w:r>
      <w:r>
        <w:rPr>
          <w:rFonts w:hint="eastAsia" w:ascii="宋体" w:hAnsi="宋体" w:cs="宋体"/>
          <w:kern w:val="0"/>
          <w:szCs w:val="21"/>
        </w:rPr>
        <w:t>姓名和职务）代表投标人</w:t>
      </w:r>
      <w:r>
        <w:rPr>
          <w:rFonts w:hint="eastAsia" w:ascii="宋体" w:hAnsi="宋体" w:cs="宋体"/>
          <w:kern w:val="0"/>
          <w:szCs w:val="21"/>
          <w:u w:val="single"/>
        </w:rPr>
        <w:t>     </w:t>
      </w:r>
      <w:r>
        <w:rPr>
          <w:rFonts w:hint="eastAsia" w:ascii="宋体" w:hAnsi="宋体" w:cs="宋体"/>
          <w:kern w:val="0"/>
          <w:szCs w:val="21"/>
        </w:rPr>
        <w:t>（投标人名称），提交投标文件。</w:t>
      </w:r>
    </w:p>
    <w:p w14:paraId="7ABE3B7D">
      <w:pPr>
        <w:widowControl/>
        <w:shd w:val="clear" w:color="auto" w:fill="FFFFFF"/>
        <w:spacing w:line="400" w:lineRule="exact"/>
        <w:ind w:firstLine="420"/>
        <w:rPr>
          <w:rFonts w:hint="eastAsia" w:ascii="宋体" w:hAnsi="宋体" w:cs="宋体"/>
          <w:kern w:val="0"/>
          <w:szCs w:val="21"/>
        </w:rPr>
      </w:pPr>
      <w:r>
        <w:rPr>
          <w:rFonts w:hint="eastAsia" w:ascii="宋体" w:hAnsi="宋体" w:cs="宋体"/>
          <w:kern w:val="0"/>
          <w:szCs w:val="21"/>
        </w:rPr>
        <w:t>据此函，签字人兹宣布声明和承诺如下：</w:t>
      </w:r>
    </w:p>
    <w:p w14:paraId="1564706D">
      <w:pPr>
        <w:widowControl/>
        <w:shd w:val="clear" w:color="auto" w:fill="FFFFFF"/>
        <w:spacing w:line="400" w:lineRule="exact"/>
        <w:ind w:firstLine="420"/>
        <w:rPr>
          <w:rFonts w:hint="eastAsia" w:ascii="宋体" w:hAnsi="宋体" w:cs="宋体"/>
          <w:kern w:val="0"/>
          <w:szCs w:val="21"/>
        </w:rPr>
      </w:pPr>
      <w:r>
        <w:rPr>
          <w:rFonts w:hint="eastAsia" w:ascii="宋体" w:hAnsi="宋体" w:cs="宋体"/>
          <w:kern w:val="0"/>
          <w:szCs w:val="21"/>
        </w:rPr>
        <w:t>1、</w:t>
      </w:r>
      <w:r>
        <w:rPr>
          <w:rFonts w:hint="eastAsia" w:ascii="宋体" w:hAnsi="宋体" w:cs="宋体"/>
          <w:b/>
          <w:bCs/>
          <w:kern w:val="0"/>
          <w:szCs w:val="21"/>
        </w:rPr>
        <w:t>我们的资格条件完全符合政府采购法和本次招标要求</w:t>
      </w:r>
      <w:r>
        <w:rPr>
          <w:rFonts w:hint="eastAsia" w:ascii="宋体" w:hAnsi="宋体" w:cs="宋体"/>
          <w:kern w:val="0"/>
          <w:szCs w:val="21"/>
        </w:rPr>
        <w:t>，我们同意并向贵方提供了与投标有关的所有证据和资料。</w:t>
      </w:r>
    </w:p>
    <w:p w14:paraId="3A1D0055">
      <w:pPr>
        <w:widowControl/>
        <w:shd w:val="clear" w:color="auto" w:fill="FFFFFF"/>
        <w:spacing w:line="400" w:lineRule="exact"/>
        <w:ind w:left="1470" w:hanging="1050"/>
        <w:rPr>
          <w:rFonts w:hint="eastAsia" w:ascii="宋体" w:hAnsi="宋体" w:cs="宋体"/>
          <w:kern w:val="0"/>
          <w:szCs w:val="21"/>
        </w:rPr>
      </w:pPr>
      <w:r>
        <w:rPr>
          <w:rFonts w:hint="eastAsia" w:ascii="宋体" w:hAnsi="宋体" w:cs="宋体"/>
          <w:kern w:val="0"/>
          <w:szCs w:val="21"/>
        </w:rPr>
        <w:t>2、按招标要求，我们的投标报价详见开标一览表。</w:t>
      </w:r>
    </w:p>
    <w:p w14:paraId="1B029883">
      <w:pPr>
        <w:widowControl/>
        <w:shd w:val="clear" w:color="auto" w:fill="FFFFFF"/>
        <w:spacing w:line="400" w:lineRule="exact"/>
        <w:ind w:firstLine="420"/>
        <w:rPr>
          <w:rFonts w:hint="eastAsia" w:ascii="宋体" w:hAnsi="宋体" w:cs="宋体"/>
          <w:kern w:val="0"/>
          <w:szCs w:val="21"/>
        </w:rPr>
      </w:pPr>
      <w:r>
        <w:rPr>
          <w:rFonts w:hint="eastAsia" w:ascii="宋体" w:hAnsi="宋体" w:cs="宋体"/>
          <w:kern w:val="0"/>
          <w:szCs w:val="21"/>
        </w:rPr>
        <w:t>3、本项目服务时间为：</w:t>
      </w:r>
      <w:r>
        <w:rPr>
          <w:rFonts w:hint="eastAsia" w:ascii="宋体" w:hAnsi="宋体" w:cs="宋体"/>
          <w:kern w:val="0"/>
          <w:szCs w:val="21"/>
          <w:u w:val="single"/>
        </w:rPr>
        <w:t xml:space="preserve">  满足招标文件要求  </w:t>
      </w:r>
      <w:r>
        <w:rPr>
          <w:rFonts w:hint="eastAsia" w:ascii="宋体" w:hAnsi="宋体" w:cs="宋体"/>
          <w:kern w:val="0"/>
          <w:szCs w:val="21"/>
        </w:rPr>
        <w:t>。</w:t>
      </w:r>
    </w:p>
    <w:p w14:paraId="5A95DED4">
      <w:pPr>
        <w:widowControl/>
        <w:shd w:val="clear" w:color="auto" w:fill="FFFFFF"/>
        <w:spacing w:line="400" w:lineRule="exact"/>
        <w:ind w:firstLine="420"/>
        <w:rPr>
          <w:rFonts w:hint="eastAsia" w:ascii="宋体" w:hAnsi="宋体" w:cs="宋体"/>
          <w:kern w:val="0"/>
          <w:szCs w:val="21"/>
        </w:rPr>
      </w:pPr>
      <w:r>
        <w:rPr>
          <w:rFonts w:hint="eastAsia" w:ascii="宋体" w:hAnsi="宋体" w:cs="宋体"/>
          <w:kern w:val="0"/>
          <w:szCs w:val="21"/>
        </w:rPr>
        <w:t>4、我们已详细阅读全部招标文件及其有效补充文件，我们放弃对招标文件任何误解的权利，提交投标文件后，</w:t>
      </w:r>
      <w:r>
        <w:rPr>
          <w:rFonts w:hint="eastAsia" w:ascii="宋体" w:hAnsi="宋体" w:cs="宋体"/>
          <w:b/>
          <w:bCs/>
          <w:kern w:val="0"/>
          <w:szCs w:val="21"/>
        </w:rPr>
        <w:t>不对招标文件本身提出质疑</w:t>
      </w:r>
      <w:r>
        <w:rPr>
          <w:rFonts w:hint="eastAsia" w:ascii="宋体" w:hAnsi="宋体" w:cs="宋体"/>
          <w:kern w:val="0"/>
          <w:szCs w:val="21"/>
        </w:rPr>
        <w:t>。</w:t>
      </w:r>
    </w:p>
    <w:p w14:paraId="4CD22886">
      <w:pPr>
        <w:widowControl/>
        <w:shd w:val="clear" w:color="auto" w:fill="FFFFFF"/>
        <w:spacing w:line="400" w:lineRule="exact"/>
        <w:ind w:firstLine="420"/>
        <w:rPr>
          <w:rFonts w:hint="eastAsia" w:ascii="宋体" w:hAnsi="宋体" w:cs="宋体"/>
          <w:kern w:val="0"/>
          <w:szCs w:val="21"/>
        </w:rPr>
      </w:pPr>
      <w:r>
        <w:rPr>
          <w:rFonts w:hint="eastAsia" w:ascii="宋体" w:hAnsi="宋体" w:cs="宋体"/>
          <w:kern w:val="0"/>
          <w:szCs w:val="21"/>
        </w:rPr>
        <w:t>5、我们同意从规定的开标日期起遵循本投标文件，并在规定的投标有效期期满之前均具有约束力。</w:t>
      </w:r>
    </w:p>
    <w:p w14:paraId="5F5C19D5">
      <w:pPr>
        <w:widowControl/>
        <w:shd w:val="clear" w:color="auto" w:fill="FFFFFF"/>
        <w:spacing w:line="400" w:lineRule="exact"/>
        <w:ind w:firstLine="420"/>
        <w:rPr>
          <w:rFonts w:hint="eastAsia" w:ascii="宋体" w:hAnsi="宋体" w:cs="宋体"/>
          <w:kern w:val="0"/>
          <w:szCs w:val="21"/>
        </w:rPr>
      </w:pPr>
      <w:r>
        <w:rPr>
          <w:rFonts w:hint="eastAsia" w:ascii="宋体" w:hAnsi="宋体" w:cs="宋体"/>
          <w:kern w:val="0"/>
          <w:szCs w:val="21"/>
        </w:rPr>
        <w:t>6、投标截止时间结束后参加投标的投标人不足三家的，或在评标期间出现符合专业条件的供应商或者对招标文件作出实质响应的投标人不足三家情形的，我们酌情决定是否参加</w:t>
      </w:r>
      <w:r>
        <w:rPr>
          <w:rFonts w:hint="eastAsia" w:ascii="宋体" w:hAnsi="宋体" w:cs="宋体"/>
        </w:rPr>
        <w:t>贵方组织的其他采购</w:t>
      </w:r>
      <w:r>
        <w:rPr>
          <w:rFonts w:hint="eastAsia" w:ascii="宋体" w:hAnsi="宋体" w:cs="宋体"/>
          <w:lang w:val="en-US" w:eastAsia="zh-CN"/>
        </w:rPr>
        <w:t>方式</w:t>
      </w:r>
      <w:r>
        <w:rPr>
          <w:rFonts w:hint="eastAsia" w:ascii="宋体" w:hAnsi="宋体" w:cs="宋体"/>
        </w:rPr>
        <w:t>采购</w:t>
      </w:r>
      <w:r>
        <w:rPr>
          <w:rFonts w:hint="eastAsia" w:ascii="宋体" w:hAnsi="宋体" w:cs="宋体"/>
          <w:kern w:val="0"/>
          <w:szCs w:val="21"/>
        </w:rPr>
        <w:t>。</w:t>
      </w:r>
    </w:p>
    <w:p w14:paraId="444AFB16">
      <w:pPr>
        <w:widowControl/>
        <w:shd w:val="clear" w:color="auto" w:fill="FFFFFF"/>
        <w:spacing w:line="400" w:lineRule="exact"/>
        <w:ind w:firstLine="420"/>
        <w:rPr>
          <w:rFonts w:hint="eastAsia" w:ascii="宋体" w:hAnsi="宋体" w:cs="宋体"/>
          <w:kern w:val="0"/>
          <w:szCs w:val="21"/>
        </w:rPr>
      </w:pPr>
      <w:r>
        <w:rPr>
          <w:rFonts w:hint="eastAsia" w:ascii="宋体" w:hAnsi="宋体" w:cs="宋体"/>
          <w:kern w:val="0"/>
          <w:szCs w:val="21"/>
        </w:rPr>
        <w:t>7、一旦我方中标，我方将根据招标文件的规定严格履行合同，并保证于承诺的时间完成货物的启动/集成、调试等服务，交付采购人验收、使用。</w:t>
      </w:r>
    </w:p>
    <w:p w14:paraId="0BB28C22">
      <w:pPr>
        <w:widowControl/>
        <w:shd w:val="clear" w:color="auto" w:fill="FFFFFF"/>
        <w:spacing w:line="400" w:lineRule="exact"/>
        <w:ind w:firstLine="420"/>
        <w:rPr>
          <w:rFonts w:hint="eastAsia" w:ascii="宋体" w:hAnsi="宋体" w:cs="宋体"/>
          <w:kern w:val="0"/>
          <w:szCs w:val="21"/>
        </w:rPr>
      </w:pPr>
      <w:r>
        <w:rPr>
          <w:rFonts w:hint="eastAsia" w:ascii="宋体" w:hAnsi="宋体" w:cs="宋体"/>
          <w:kern w:val="0"/>
          <w:szCs w:val="21"/>
        </w:rPr>
        <w:t>8、我方决不提供虚假材料谋取中标、决不采取不正当手段诋毁、排挤其他投标人、决不与采购人、其他投标人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14:paraId="2C6D127A">
      <w:pPr>
        <w:widowControl/>
        <w:shd w:val="clear" w:color="auto" w:fill="FFFFFF"/>
        <w:spacing w:line="400" w:lineRule="exact"/>
        <w:ind w:firstLine="420"/>
        <w:rPr>
          <w:rFonts w:hint="eastAsia" w:ascii="宋体" w:hAnsi="宋体" w:cs="宋体"/>
          <w:kern w:val="0"/>
          <w:szCs w:val="21"/>
        </w:rPr>
      </w:pPr>
      <w:r>
        <w:rPr>
          <w:rFonts w:hint="eastAsia" w:ascii="宋体" w:hAnsi="宋体" w:cs="宋体"/>
          <w:kern w:val="0"/>
          <w:szCs w:val="21"/>
        </w:rPr>
        <w:t>9、与本投标有关的正式联系方式为：</w:t>
      </w:r>
    </w:p>
    <w:p w14:paraId="65E7E05F">
      <w:pPr>
        <w:widowControl/>
        <w:shd w:val="clear" w:color="auto" w:fill="FFFFFF"/>
        <w:spacing w:line="400" w:lineRule="exact"/>
        <w:ind w:firstLine="420"/>
        <w:rPr>
          <w:rFonts w:hint="eastAsia" w:ascii="宋体" w:hAnsi="宋体" w:cs="宋体"/>
          <w:kern w:val="0"/>
          <w:szCs w:val="21"/>
        </w:rPr>
      </w:pPr>
      <w:r>
        <w:rPr>
          <w:rFonts w:hint="eastAsia" w:ascii="宋体" w:hAnsi="宋体" w:cs="宋体"/>
          <w:kern w:val="0"/>
          <w:szCs w:val="21"/>
        </w:rPr>
        <w:t>地   址：</w:t>
      </w:r>
      <w:r>
        <w:rPr>
          <w:rFonts w:hint="eastAsia" w:ascii="宋体" w:hAnsi="宋体" w:cs="宋体"/>
          <w:kern w:val="0"/>
          <w:szCs w:val="21"/>
          <w:u w:val="single"/>
        </w:rPr>
        <w:t>                      </w:t>
      </w:r>
    </w:p>
    <w:p w14:paraId="73895A15">
      <w:pPr>
        <w:widowControl/>
        <w:shd w:val="clear" w:color="auto" w:fill="FFFFFF"/>
        <w:spacing w:line="400" w:lineRule="exact"/>
        <w:ind w:firstLine="420"/>
        <w:rPr>
          <w:rFonts w:hint="eastAsia" w:ascii="宋体" w:hAnsi="宋体" w:cs="宋体"/>
          <w:kern w:val="0"/>
          <w:szCs w:val="21"/>
        </w:rPr>
      </w:pPr>
      <w:r>
        <w:rPr>
          <w:rFonts w:hint="eastAsia" w:ascii="宋体" w:hAnsi="宋体" w:cs="宋体"/>
          <w:kern w:val="0"/>
          <w:szCs w:val="21"/>
        </w:rPr>
        <w:t>电   话：</w:t>
      </w:r>
      <w:r>
        <w:rPr>
          <w:rFonts w:hint="eastAsia" w:ascii="宋体" w:hAnsi="宋体" w:cs="宋体"/>
          <w:kern w:val="0"/>
          <w:szCs w:val="21"/>
          <w:u w:val="single"/>
        </w:rPr>
        <w:t>                      </w:t>
      </w:r>
    </w:p>
    <w:p w14:paraId="6642BB09">
      <w:pPr>
        <w:widowControl/>
        <w:shd w:val="clear" w:color="auto" w:fill="FFFFFF"/>
        <w:spacing w:line="400" w:lineRule="exact"/>
        <w:ind w:firstLine="420"/>
        <w:rPr>
          <w:rFonts w:hint="eastAsia" w:ascii="宋体" w:hAnsi="宋体" w:cs="宋体"/>
          <w:kern w:val="0"/>
          <w:szCs w:val="21"/>
        </w:rPr>
      </w:pPr>
      <w:r>
        <w:rPr>
          <w:rFonts w:hint="eastAsia" w:ascii="宋体" w:hAnsi="宋体" w:cs="宋体"/>
          <w:kern w:val="0"/>
          <w:szCs w:val="21"/>
        </w:rPr>
        <w:t>传   真：</w:t>
      </w:r>
      <w:r>
        <w:rPr>
          <w:rFonts w:hint="eastAsia" w:ascii="宋体" w:hAnsi="宋体" w:cs="宋体"/>
          <w:kern w:val="0"/>
          <w:szCs w:val="21"/>
          <w:u w:val="single"/>
        </w:rPr>
        <w:t>                      </w:t>
      </w:r>
    </w:p>
    <w:p w14:paraId="1B569A09">
      <w:pPr>
        <w:widowControl/>
        <w:shd w:val="clear" w:color="auto" w:fill="FFFFFF"/>
        <w:spacing w:line="400" w:lineRule="exact"/>
        <w:ind w:firstLine="420"/>
        <w:rPr>
          <w:rFonts w:hint="eastAsia" w:ascii="宋体" w:hAnsi="宋体" w:cs="宋体"/>
          <w:kern w:val="0"/>
          <w:szCs w:val="21"/>
        </w:rPr>
      </w:pPr>
      <w:r>
        <w:rPr>
          <w:rFonts w:hint="eastAsia" w:ascii="宋体" w:hAnsi="宋体" w:cs="宋体"/>
          <w:kern w:val="0"/>
          <w:szCs w:val="21"/>
        </w:rPr>
        <w:t>开户银行：</w:t>
      </w:r>
    </w:p>
    <w:p w14:paraId="3EEE8DD5">
      <w:pPr>
        <w:widowControl/>
        <w:shd w:val="clear" w:color="auto" w:fill="FFFFFF"/>
        <w:spacing w:line="400" w:lineRule="exact"/>
        <w:ind w:firstLine="420"/>
        <w:rPr>
          <w:rFonts w:hint="eastAsia" w:ascii="宋体" w:hAnsi="宋体" w:cs="宋体"/>
          <w:kern w:val="0"/>
          <w:szCs w:val="21"/>
        </w:rPr>
      </w:pPr>
      <w:r>
        <w:rPr>
          <w:rFonts w:hint="eastAsia" w:ascii="宋体" w:hAnsi="宋体" w:cs="宋体"/>
          <w:kern w:val="0"/>
          <w:szCs w:val="21"/>
        </w:rPr>
        <w:t>银行账号：</w:t>
      </w:r>
    </w:p>
    <w:p w14:paraId="354639DB">
      <w:pPr>
        <w:widowControl/>
        <w:shd w:val="clear" w:color="auto" w:fill="FFFFFF"/>
        <w:spacing w:line="400" w:lineRule="exact"/>
        <w:ind w:firstLine="420"/>
        <w:rPr>
          <w:rFonts w:hint="eastAsia" w:ascii="宋体" w:hAnsi="宋体" w:cs="宋体"/>
          <w:kern w:val="0"/>
          <w:szCs w:val="21"/>
        </w:rPr>
      </w:pPr>
      <w:r>
        <w:rPr>
          <w:rFonts w:hint="eastAsia" w:ascii="宋体" w:hAnsi="宋体" w:cs="宋体"/>
          <w:kern w:val="0"/>
          <w:szCs w:val="21"/>
        </w:rPr>
        <w:t>投标人名称：</w:t>
      </w:r>
      <w:r>
        <w:rPr>
          <w:rFonts w:hint="eastAsia" w:ascii="宋体" w:hAnsi="宋体" w:cs="宋体"/>
          <w:kern w:val="0"/>
          <w:szCs w:val="21"/>
          <w:u w:val="single"/>
        </w:rPr>
        <w:t>                 </w:t>
      </w:r>
      <w:r>
        <w:rPr>
          <w:rFonts w:hint="eastAsia" w:ascii="宋体" w:hAnsi="宋体" w:cs="宋体"/>
          <w:kern w:val="0"/>
          <w:szCs w:val="21"/>
        </w:rPr>
        <w:t>（加盖电子公章）</w:t>
      </w:r>
    </w:p>
    <w:p w14:paraId="45F01CAF">
      <w:pPr>
        <w:widowControl/>
        <w:shd w:val="clear" w:color="auto" w:fill="FFFFFF"/>
        <w:spacing w:line="400" w:lineRule="exact"/>
        <w:ind w:firstLine="420"/>
        <w:rPr>
          <w:rFonts w:hint="eastAsia" w:ascii="宋体" w:hAnsi="宋体" w:cs="宋体"/>
          <w:kern w:val="0"/>
          <w:szCs w:val="21"/>
        </w:rPr>
      </w:pPr>
      <w:r>
        <w:rPr>
          <w:rFonts w:hint="eastAsia" w:ascii="宋体" w:hAnsi="宋体" w:cs="宋体"/>
          <w:kern w:val="0"/>
          <w:szCs w:val="21"/>
        </w:rPr>
        <w:t>日    期：</w:t>
      </w:r>
      <w:r>
        <w:rPr>
          <w:rFonts w:hint="eastAsia" w:ascii="宋体" w:hAnsi="宋体" w:cs="宋体"/>
          <w:kern w:val="0"/>
          <w:szCs w:val="21"/>
          <w:u w:val="single"/>
        </w:rPr>
        <w:t>     </w:t>
      </w:r>
      <w:r>
        <w:rPr>
          <w:rFonts w:hint="eastAsia" w:ascii="宋体" w:hAnsi="宋体" w:cs="宋体"/>
          <w:kern w:val="0"/>
          <w:szCs w:val="21"/>
        </w:rPr>
        <w:t>年</w:t>
      </w:r>
      <w:r>
        <w:rPr>
          <w:rFonts w:hint="eastAsia" w:ascii="宋体" w:hAnsi="宋体" w:cs="宋体"/>
          <w:kern w:val="0"/>
          <w:szCs w:val="21"/>
          <w:u w:val="single"/>
        </w:rPr>
        <w:t>    </w:t>
      </w:r>
      <w:r>
        <w:rPr>
          <w:rFonts w:hint="eastAsia" w:ascii="宋体" w:hAnsi="宋体" w:cs="宋体"/>
          <w:kern w:val="0"/>
          <w:szCs w:val="21"/>
        </w:rPr>
        <w:t>月</w:t>
      </w:r>
      <w:r>
        <w:rPr>
          <w:rFonts w:hint="eastAsia" w:ascii="宋体" w:hAnsi="宋体" w:cs="宋体"/>
          <w:kern w:val="0"/>
          <w:szCs w:val="21"/>
          <w:u w:val="single"/>
        </w:rPr>
        <w:t>    </w:t>
      </w:r>
      <w:r>
        <w:rPr>
          <w:rFonts w:hint="eastAsia" w:ascii="宋体" w:hAnsi="宋体" w:cs="宋体"/>
          <w:kern w:val="0"/>
          <w:szCs w:val="21"/>
        </w:rPr>
        <w:t>日</w:t>
      </w:r>
    </w:p>
    <w:p w14:paraId="331D3473">
      <w:pPr>
        <w:widowControl/>
        <w:shd w:val="clear" w:color="auto" w:fill="FFFFFF"/>
        <w:spacing w:line="360" w:lineRule="auto"/>
        <w:rPr>
          <w:rFonts w:hint="eastAsia" w:ascii="宋体" w:hAnsi="宋体" w:cs="宋体"/>
          <w:kern w:val="0"/>
          <w:szCs w:val="21"/>
        </w:rPr>
      </w:pPr>
      <w:r>
        <w:rPr>
          <w:rFonts w:hint="eastAsia" w:ascii="宋体" w:hAnsi="宋体" w:cs="宋体"/>
          <w:b/>
          <w:bCs/>
          <w:kern w:val="0"/>
          <w:szCs w:val="21"/>
        </w:rPr>
        <w:br w:type="page"/>
      </w:r>
      <w:r>
        <w:rPr>
          <w:rFonts w:hint="eastAsia" w:ascii="宋体" w:hAnsi="宋体" w:cs="宋体"/>
          <w:b/>
          <w:bCs/>
          <w:kern w:val="0"/>
          <w:szCs w:val="21"/>
        </w:rPr>
        <w:t>附件二、法人授权委托书格式</w:t>
      </w:r>
    </w:p>
    <w:p w14:paraId="1586A652">
      <w:pPr>
        <w:widowControl/>
        <w:shd w:val="clear" w:color="auto" w:fill="FFFFFF"/>
        <w:spacing w:line="360" w:lineRule="auto"/>
        <w:ind w:firstLine="720"/>
        <w:jc w:val="center"/>
        <w:rPr>
          <w:rFonts w:hint="eastAsia" w:ascii="宋体" w:hAnsi="宋体" w:cs="宋体"/>
          <w:kern w:val="0"/>
          <w:sz w:val="36"/>
          <w:szCs w:val="36"/>
        </w:rPr>
      </w:pPr>
    </w:p>
    <w:p w14:paraId="248E0B11">
      <w:pPr>
        <w:widowControl/>
        <w:shd w:val="clear" w:color="auto" w:fill="FFFFFF"/>
        <w:spacing w:line="360" w:lineRule="auto"/>
        <w:ind w:firstLine="720"/>
        <w:jc w:val="center"/>
        <w:rPr>
          <w:rFonts w:hint="eastAsia" w:ascii="宋体" w:hAnsi="宋体" w:cs="宋体"/>
          <w:b/>
          <w:kern w:val="0"/>
          <w:szCs w:val="21"/>
        </w:rPr>
      </w:pPr>
      <w:r>
        <w:rPr>
          <w:rFonts w:hint="eastAsia" w:ascii="宋体" w:hAnsi="宋体" w:cs="宋体"/>
          <w:b/>
          <w:kern w:val="0"/>
          <w:sz w:val="36"/>
          <w:szCs w:val="36"/>
        </w:rPr>
        <w:t>法人授权书</w:t>
      </w:r>
    </w:p>
    <w:p w14:paraId="2B4F5D51">
      <w:pPr>
        <w:widowControl/>
        <w:shd w:val="clear" w:color="auto" w:fill="FFFFFF"/>
        <w:spacing w:line="360" w:lineRule="auto"/>
        <w:jc w:val="left"/>
        <w:rPr>
          <w:rFonts w:hint="eastAsia" w:ascii="宋体" w:hAnsi="宋体" w:cs="宋体"/>
          <w:kern w:val="0"/>
          <w:szCs w:val="21"/>
        </w:rPr>
      </w:pPr>
    </w:p>
    <w:p w14:paraId="3A986C33">
      <w:pPr>
        <w:spacing w:line="480" w:lineRule="exact"/>
        <w:ind w:firstLine="480"/>
        <w:rPr>
          <w:rFonts w:hint="eastAsia" w:ascii="宋体" w:hAnsi="宋体"/>
          <w:szCs w:val="21"/>
        </w:rPr>
      </w:pPr>
      <w:r>
        <w:rPr>
          <w:rFonts w:hint="eastAsia" w:ascii="宋体" w:hAnsi="宋体"/>
          <w:szCs w:val="21"/>
        </w:rPr>
        <w:t>本授权书声明：</w:t>
      </w:r>
      <w:r>
        <w:rPr>
          <w:rFonts w:hint="eastAsia" w:ascii="宋体" w:hAnsi="宋体"/>
          <w:szCs w:val="21"/>
          <w:u w:val="single"/>
        </w:rPr>
        <w:t xml:space="preserve">            </w:t>
      </w:r>
      <w:r>
        <w:rPr>
          <w:rFonts w:hint="eastAsia" w:ascii="宋体" w:hAnsi="宋体"/>
          <w:szCs w:val="21"/>
        </w:rPr>
        <w:t>（投标人名称）授权</w:t>
      </w:r>
      <w:r>
        <w:rPr>
          <w:rFonts w:hint="eastAsia" w:ascii="宋体" w:hAnsi="宋体"/>
          <w:szCs w:val="21"/>
          <w:u w:val="single"/>
        </w:rPr>
        <w:t xml:space="preserve">                 </w:t>
      </w:r>
      <w:r>
        <w:rPr>
          <w:rFonts w:hint="eastAsia" w:ascii="宋体" w:hAnsi="宋体"/>
          <w:szCs w:val="21"/>
        </w:rPr>
        <w:t>（被授权人姓名）作为我方参加编号为</w:t>
      </w:r>
      <w:r>
        <w:rPr>
          <w:rFonts w:hint="eastAsia" w:ascii="宋体" w:hAnsi="宋体"/>
          <w:szCs w:val="21"/>
          <w:u w:val="single"/>
        </w:rPr>
        <w:t xml:space="preserve">                             </w:t>
      </w:r>
      <w:r>
        <w:rPr>
          <w:rFonts w:hint="eastAsia" w:ascii="宋体" w:hAnsi="宋体"/>
          <w:szCs w:val="21"/>
        </w:rPr>
        <w:t>项目采购活动的合法代理人，以本单位名义全权处理一切与该项目采购有关的事务。</w:t>
      </w:r>
    </w:p>
    <w:p w14:paraId="0FA256F8">
      <w:pPr>
        <w:spacing w:line="480" w:lineRule="exact"/>
        <w:ind w:firstLine="480"/>
        <w:rPr>
          <w:rFonts w:hint="eastAsia" w:ascii="宋体" w:hAnsi="宋体"/>
          <w:szCs w:val="21"/>
        </w:rPr>
      </w:pPr>
      <w:r>
        <w:rPr>
          <w:rFonts w:hint="eastAsia" w:ascii="宋体" w:hAnsi="宋体"/>
          <w:szCs w:val="21"/>
        </w:rPr>
        <w:t>本授权书自______年____月____日起生效，特此声明。</w:t>
      </w:r>
    </w:p>
    <w:p w14:paraId="28BCBC79">
      <w:pPr>
        <w:spacing w:line="480" w:lineRule="exact"/>
        <w:ind w:firstLine="480"/>
        <w:rPr>
          <w:rFonts w:hint="eastAsia" w:ascii="宋体" w:hAnsi="宋体"/>
          <w:szCs w:val="21"/>
        </w:rPr>
      </w:pPr>
      <w:r>
        <w:rPr>
          <w:rFonts w:hint="eastAsia" w:ascii="宋体" w:hAnsi="宋体"/>
          <w:szCs w:val="21"/>
        </w:rPr>
        <w:t>被授权人身份证号码：</w:t>
      </w:r>
    </w:p>
    <w:p w14:paraId="012E370A">
      <w:pPr>
        <w:spacing w:line="480" w:lineRule="exact"/>
        <w:ind w:firstLine="480"/>
        <w:rPr>
          <w:rFonts w:hint="eastAsia" w:ascii="宋体" w:hAnsi="宋体"/>
          <w:szCs w:val="21"/>
          <w:u w:val="single"/>
        </w:rPr>
      </w:pPr>
      <w:r>
        <w:rPr>
          <w:rFonts w:hint="eastAsia" w:ascii="宋体" w:hAnsi="宋体"/>
          <w:szCs w:val="21"/>
        </w:rPr>
        <w:t>被授权人联系电话：           （手机）</w:t>
      </w:r>
    </w:p>
    <w:p w14:paraId="34CF641A">
      <w:pPr>
        <w:spacing w:line="480" w:lineRule="exact"/>
        <w:ind w:firstLine="480"/>
        <w:rPr>
          <w:rFonts w:hint="eastAsia" w:ascii="宋体" w:hAnsi="宋体"/>
          <w:szCs w:val="21"/>
          <w:u w:val="single"/>
        </w:rPr>
      </w:pPr>
      <w:r>
        <w:rPr>
          <w:rFonts w:hint="eastAsia" w:ascii="宋体" w:hAnsi="宋体"/>
          <w:szCs w:val="21"/>
        </w:rPr>
        <w:t>投标人名称：              （加盖电子公章）</w:t>
      </w:r>
    </w:p>
    <w:p w14:paraId="2F7101C8">
      <w:pPr>
        <w:spacing w:line="480" w:lineRule="exact"/>
        <w:ind w:firstLine="480"/>
        <w:rPr>
          <w:rFonts w:hint="eastAsia" w:ascii="宋体" w:hAnsi="宋体"/>
          <w:szCs w:val="21"/>
          <w:u w:val="single"/>
        </w:rPr>
      </w:pPr>
      <w:r>
        <w:rPr>
          <w:rFonts w:hint="eastAsia" w:ascii="宋体" w:hAnsi="宋体"/>
          <w:szCs w:val="21"/>
        </w:rPr>
        <w:t>单位地址：</w:t>
      </w:r>
    </w:p>
    <w:p w14:paraId="08DA9AA1">
      <w:pPr>
        <w:spacing w:line="480" w:lineRule="exact"/>
        <w:ind w:firstLine="480"/>
        <w:rPr>
          <w:rFonts w:hint="eastAsia" w:ascii="宋体" w:hAnsi="宋体"/>
          <w:szCs w:val="21"/>
        </w:rPr>
      </w:pPr>
      <w:r>
        <w:rPr>
          <w:rFonts w:hint="eastAsia" w:ascii="宋体" w:hAnsi="宋体"/>
          <w:szCs w:val="21"/>
        </w:rPr>
        <w:t>日    期：</w:t>
      </w:r>
    </w:p>
    <w:p w14:paraId="0C0DD298">
      <w:pPr>
        <w:widowControl/>
        <w:shd w:val="clear" w:color="auto" w:fill="FFFFFF"/>
        <w:spacing w:line="360" w:lineRule="auto"/>
        <w:ind w:firstLine="420"/>
        <w:jc w:val="left"/>
        <w:rPr>
          <w:rFonts w:hint="eastAsia" w:ascii="宋体" w:hAnsi="宋体" w:cs="宋体"/>
          <w:kern w:val="0"/>
          <w:szCs w:val="21"/>
        </w:rPr>
      </w:pPr>
      <w:r>
        <w:rPr>
          <w:rFonts w:hint="eastAsia" w:ascii="宋体" w:hAnsi="宋体" w:cs="宋体"/>
          <w:kern w:val="0"/>
          <w:szCs w:val="21"/>
        </w:rPr>
        <w:t> </w:t>
      </w:r>
    </w:p>
    <w:p w14:paraId="63D1FAFD">
      <w:pPr>
        <w:widowControl/>
        <w:shd w:val="clear" w:color="auto" w:fill="FFFFFF"/>
        <w:spacing w:line="360" w:lineRule="auto"/>
        <w:ind w:firstLine="420"/>
        <w:jc w:val="left"/>
        <w:rPr>
          <w:rFonts w:hint="eastAsia" w:ascii="宋体" w:hAnsi="宋体" w:cs="宋体"/>
          <w:kern w:val="0"/>
          <w:szCs w:val="21"/>
        </w:rPr>
      </w:pPr>
      <w:r>
        <w:rPr>
          <w:rFonts w:hint="eastAsia" w:ascii="宋体" w:hAnsi="宋体" w:cs="宋体"/>
          <w:kern w:val="0"/>
          <w:szCs w:val="21"/>
        </w:rPr>
        <w:t> </w:t>
      </w:r>
    </w:p>
    <w:p w14:paraId="1590432F">
      <w:pPr>
        <w:widowControl/>
        <w:shd w:val="clear" w:color="auto" w:fill="FFFFFF"/>
        <w:spacing w:line="360" w:lineRule="auto"/>
        <w:ind w:firstLine="420"/>
        <w:jc w:val="left"/>
        <w:rPr>
          <w:rFonts w:hint="eastAsia" w:ascii="宋体" w:hAnsi="宋体" w:cs="宋体"/>
          <w:kern w:val="0"/>
          <w:szCs w:val="21"/>
        </w:rPr>
      </w:pPr>
      <w:r>
        <w:rPr>
          <w:rFonts w:hint="eastAsia" w:ascii="宋体" w:hAnsi="宋体" w:cs="宋体"/>
          <w:kern w:val="0"/>
          <w:szCs w:val="21"/>
        </w:rPr>
        <w:t> </w:t>
      </w:r>
    </w:p>
    <w:p w14:paraId="4686351C">
      <w:pPr>
        <w:autoSpaceDE w:val="0"/>
        <w:autoSpaceDN w:val="0"/>
        <w:adjustRightInd w:val="0"/>
        <w:spacing w:line="360" w:lineRule="auto"/>
        <w:rPr>
          <w:rFonts w:hint="eastAsia" w:ascii="宋体" w:hAnsi="宋体" w:cs="宋体"/>
          <w:lang w:val="zh-CN"/>
        </w:rPr>
      </w:pPr>
      <w:r>
        <w:rPr>
          <w:rFonts w:hint="eastAsia" w:ascii="宋体" w:hAnsi="宋体" w:cs="宋体"/>
          <w:b/>
          <w:bCs/>
          <w:kern w:val="0"/>
          <w:szCs w:val="21"/>
        </w:rPr>
        <w:br w:type="page"/>
      </w:r>
      <w:bookmarkStart w:id="21" w:name="_Toc26810"/>
      <w:r>
        <w:rPr>
          <w:rFonts w:hint="eastAsia" w:ascii="宋体" w:hAnsi="宋体" w:cs="宋体"/>
          <w:b/>
          <w:bCs/>
          <w:kern w:val="0"/>
          <w:szCs w:val="21"/>
          <w:lang w:val="zh-CN"/>
        </w:rPr>
        <w:t>附件三、</w:t>
      </w:r>
      <w:bookmarkEnd w:id="21"/>
      <w:r>
        <w:rPr>
          <w:rFonts w:hint="eastAsia" w:ascii="宋体" w:hAnsi="宋体" w:cs="宋体"/>
          <w:b/>
          <w:bCs/>
          <w:kern w:val="0"/>
          <w:szCs w:val="21"/>
          <w:lang w:val="zh-CN"/>
        </w:rPr>
        <w:t>开标一览表</w:t>
      </w:r>
    </w:p>
    <w:p w14:paraId="4494072C">
      <w:pPr>
        <w:autoSpaceDE w:val="0"/>
        <w:autoSpaceDN w:val="0"/>
        <w:adjustRightInd w:val="0"/>
        <w:rPr>
          <w:rFonts w:hint="eastAsia" w:ascii="宋体" w:hAnsi="宋体" w:cs="宋体"/>
          <w:b/>
          <w:bCs/>
          <w:lang w:val="zh-CN"/>
        </w:rPr>
      </w:pPr>
    </w:p>
    <w:p w14:paraId="386E3868">
      <w:pPr>
        <w:jc w:val="center"/>
        <w:rPr>
          <w:rFonts w:hint="eastAsia" w:ascii="宋体" w:hAnsi="宋体" w:cs="宋体"/>
          <w:b/>
          <w:sz w:val="36"/>
          <w:szCs w:val="36"/>
        </w:rPr>
      </w:pPr>
      <w:r>
        <w:rPr>
          <w:rFonts w:hint="eastAsia" w:ascii="宋体" w:hAnsi="宋体" w:cs="宋体"/>
          <w:b/>
          <w:sz w:val="36"/>
          <w:szCs w:val="36"/>
        </w:rPr>
        <w:t>开标一览表</w:t>
      </w:r>
    </w:p>
    <w:p w14:paraId="26DCA9F2">
      <w:pPr>
        <w:widowControl/>
        <w:shd w:val="clear" w:color="auto" w:fill="FFFFFF"/>
        <w:spacing w:line="360" w:lineRule="auto"/>
        <w:jc w:val="center"/>
        <w:rPr>
          <w:rFonts w:hint="eastAsia" w:ascii="宋体" w:hAnsi="宋体" w:cs="宋体"/>
          <w:kern w:val="0"/>
          <w:sz w:val="24"/>
        </w:rPr>
      </w:pPr>
    </w:p>
    <w:p w14:paraId="3CDD1B28">
      <w:pPr>
        <w:pStyle w:val="13"/>
        <w:spacing w:line="440" w:lineRule="exact"/>
        <w:ind w:firstLine="474" w:firstLineChars="225"/>
        <w:rPr>
          <w:rFonts w:hint="eastAsia" w:ascii="宋体" w:hAnsi="宋体" w:cs="宋体"/>
          <w:sz w:val="21"/>
          <w:szCs w:val="21"/>
        </w:rPr>
      </w:pPr>
      <w:r>
        <w:rPr>
          <w:rFonts w:hint="eastAsia" w:ascii="宋体" w:hAnsi="宋体" w:cs="宋体"/>
          <w:sz w:val="21"/>
          <w:szCs w:val="21"/>
        </w:rPr>
        <w:t xml:space="preserve">项目名称：                       项目编号 ：                 </w:t>
      </w:r>
    </w:p>
    <w:tbl>
      <w:tblPr>
        <w:tblStyle w:val="46"/>
        <w:tblW w:w="934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5132"/>
        <w:gridCol w:w="2693"/>
      </w:tblGrid>
      <w:tr w14:paraId="759A0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10" w:hRule="atLeast"/>
        </w:trPr>
        <w:tc>
          <w:tcPr>
            <w:tcW w:w="1524" w:type="dxa"/>
            <w:vAlign w:val="center"/>
          </w:tcPr>
          <w:p w14:paraId="50F84DE6">
            <w:pPr>
              <w:jc w:val="center"/>
              <w:textAlignment w:val="baseline"/>
            </w:pPr>
            <w:r>
              <w:rPr>
                <w:rFonts w:hint="eastAsia"/>
              </w:rPr>
              <w:t>投标报价</w:t>
            </w:r>
          </w:p>
        </w:tc>
        <w:tc>
          <w:tcPr>
            <w:tcW w:w="5132" w:type="dxa"/>
            <w:vAlign w:val="center"/>
          </w:tcPr>
          <w:p w14:paraId="68383DA6">
            <w:pPr>
              <w:pStyle w:val="13"/>
              <w:ind w:firstLine="440" w:firstLineChars="199"/>
              <w:rPr>
                <w:sz w:val="30"/>
                <w:szCs w:val="30"/>
              </w:rPr>
            </w:pPr>
            <w:r>
              <w:rPr>
                <w:rFonts w:hint="eastAsia" w:ascii="宋体" w:hAnsi="宋体" w:cs="宋体"/>
                <w:sz w:val="22"/>
                <w:szCs w:val="22"/>
              </w:rPr>
              <w:t>详见苏采云系统</w:t>
            </w:r>
          </w:p>
        </w:tc>
        <w:tc>
          <w:tcPr>
            <w:tcW w:w="2693" w:type="dxa"/>
            <w:vAlign w:val="center"/>
          </w:tcPr>
          <w:p w14:paraId="3DC7F1BE">
            <w:pPr>
              <w:spacing w:line="440" w:lineRule="exact"/>
              <w:textAlignment w:val="baseline"/>
              <w:rPr>
                <w:rFonts w:hint="default" w:ascii="宋体" w:hAnsi="宋体" w:eastAsia="宋体" w:cs="宋体"/>
                <w:szCs w:val="21"/>
                <w:lang w:val="en-US" w:eastAsia="zh-CN"/>
              </w:rPr>
            </w:pPr>
            <w:r>
              <w:rPr>
                <w:rFonts w:hint="eastAsia" w:ascii="宋体" w:hAnsi="宋体" w:cs="宋体"/>
                <w:b/>
                <w:bCs/>
                <w:szCs w:val="21"/>
              </w:rPr>
              <w:t>备注</w:t>
            </w:r>
            <w:r>
              <w:rPr>
                <w:rFonts w:hint="eastAsia" w:ascii="宋体" w:hAnsi="宋体" w:cs="宋体"/>
                <w:b/>
                <w:bCs/>
                <w:szCs w:val="21"/>
                <w:lang w:eastAsia="zh-CN"/>
              </w:rPr>
              <w:t>：</w:t>
            </w:r>
            <w:r>
              <w:rPr>
                <w:rFonts w:hint="eastAsia" w:ascii="宋体" w:hAnsi="宋体" w:cs="宋体"/>
                <w:b/>
                <w:bCs/>
                <w:szCs w:val="21"/>
                <w:lang w:val="en-US" w:eastAsia="zh-CN"/>
              </w:rPr>
              <w:t>填写单价</w:t>
            </w:r>
          </w:p>
        </w:tc>
      </w:tr>
      <w:tr w14:paraId="5F3E2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1524" w:type="dxa"/>
            <w:vAlign w:val="center"/>
          </w:tcPr>
          <w:p w14:paraId="59A1C3CA">
            <w:pPr>
              <w:spacing w:line="440" w:lineRule="exact"/>
              <w:textAlignment w:val="baseline"/>
              <w:rPr>
                <w:rFonts w:hint="eastAsia" w:ascii="宋体" w:hAnsi="宋体" w:cs="宋体"/>
                <w:szCs w:val="21"/>
              </w:rPr>
            </w:pPr>
            <w:r>
              <w:rPr>
                <w:rFonts w:hint="eastAsia" w:ascii="宋体" w:hAnsi="宋体" w:cs="宋体"/>
                <w:szCs w:val="21"/>
              </w:rPr>
              <w:t>服务时间/交付使用时间</w:t>
            </w:r>
          </w:p>
        </w:tc>
        <w:tc>
          <w:tcPr>
            <w:tcW w:w="5132" w:type="dxa"/>
            <w:vAlign w:val="center"/>
          </w:tcPr>
          <w:p w14:paraId="61768091">
            <w:pPr>
              <w:pStyle w:val="13"/>
              <w:ind w:firstLine="472" w:firstLineChars="225"/>
              <w:rPr>
                <w:rFonts w:hint="eastAsia" w:ascii="宋体" w:hAnsi="宋体" w:cs="宋体"/>
                <w:b w:val="0"/>
                <w:bCs/>
                <w:sz w:val="21"/>
                <w:szCs w:val="21"/>
              </w:rPr>
            </w:pPr>
            <w:r>
              <w:rPr>
                <w:rFonts w:hint="eastAsia" w:ascii="宋体" w:hAnsi="宋体" w:cs="宋体"/>
                <w:b w:val="0"/>
                <w:bCs/>
                <w:sz w:val="21"/>
                <w:szCs w:val="21"/>
                <w:u w:val="single"/>
              </w:rPr>
              <w:t>满足招标文件要求</w:t>
            </w:r>
            <w:r>
              <w:rPr>
                <w:rFonts w:hint="eastAsia" w:ascii="宋体" w:hAnsi="宋体" w:cs="宋体"/>
                <w:b w:val="0"/>
                <w:bCs/>
                <w:sz w:val="21"/>
                <w:szCs w:val="21"/>
              </w:rPr>
              <w:t>。</w:t>
            </w:r>
          </w:p>
        </w:tc>
        <w:tc>
          <w:tcPr>
            <w:tcW w:w="2693" w:type="dxa"/>
            <w:vAlign w:val="center"/>
          </w:tcPr>
          <w:p w14:paraId="18691E04">
            <w:pPr>
              <w:spacing w:line="440" w:lineRule="exact"/>
              <w:ind w:firstLine="472" w:firstLineChars="225"/>
              <w:textAlignment w:val="baseline"/>
              <w:rPr>
                <w:rFonts w:hint="eastAsia" w:ascii="宋体" w:hAnsi="宋体" w:cs="宋体"/>
                <w:szCs w:val="21"/>
              </w:rPr>
            </w:pPr>
          </w:p>
          <w:p w14:paraId="7B65D7E2">
            <w:pPr>
              <w:spacing w:line="440" w:lineRule="exact"/>
              <w:ind w:firstLine="472" w:firstLineChars="225"/>
              <w:textAlignment w:val="baseline"/>
              <w:rPr>
                <w:rFonts w:hint="eastAsia" w:ascii="宋体" w:hAnsi="宋体" w:cs="宋体"/>
                <w:szCs w:val="21"/>
              </w:rPr>
            </w:pPr>
          </w:p>
        </w:tc>
      </w:tr>
      <w:tr w14:paraId="06AB5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1524" w:type="dxa"/>
            <w:vAlign w:val="center"/>
          </w:tcPr>
          <w:p w14:paraId="0FD97F19">
            <w:pPr>
              <w:pStyle w:val="13"/>
              <w:ind w:firstLine="0"/>
              <w:jc w:val="center"/>
              <w:rPr>
                <w:rFonts w:hint="eastAsia" w:ascii="宋体" w:hAnsi="宋体" w:cs="宋体"/>
                <w:szCs w:val="21"/>
              </w:rPr>
            </w:pPr>
            <w:r>
              <w:rPr>
                <w:rFonts w:hint="eastAsia" w:ascii="宋体" w:hAnsi="宋体" w:cs="宋体"/>
                <w:sz w:val="21"/>
                <w:szCs w:val="21"/>
              </w:rPr>
              <w:t>投标标的是否全部由小微企业（含视同小微企业）提供</w:t>
            </w:r>
          </w:p>
        </w:tc>
        <w:tc>
          <w:tcPr>
            <w:tcW w:w="5132" w:type="dxa"/>
            <w:vAlign w:val="center"/>
          </w:tcPr>
          <w:p w14:paraId="663722AC">
            <w:pPr>
              <w:pStyle w:val="13"/>
              <w:ind w:firstLine="474" w:firstLineChars="225"/>
              <w:rPr>
                <w:rFonts w:hint="eastAsia" w:ascii="宋体" w:hAnsi="宋体" w:cs="宋体"/>
                <w:szCs w:val="21"/>
                <w:u w:val="single"/>
              </w:rPr>
            </w:pPr>
            <w:r>
              <w:rPr>
                <w:rFonts w:hint="eastAsia" w:ascii="宋体" w:hAnsi="宋体" w:cs="宋体"/>
                <w:sz w:val="21"/>
                <w:szCs w:val="21"/>
              </w:rPr>
              <w:t>（</w:t>
            </w:r>
            <w:r>
              <w:rPr>
                <w:rFonts w:hint="eastAsia" w:ascii="宋体" w:hAnsi="宋体" w:cs="宋体"/>
                <w:sz w:val="21"/>
                <w:szCs w:val="21"/>
                <w:lang w:val="zh-CN"/>
              </w:rPr>
              <w:t>填写“是”或“否</w:t>
            </w:r>
            <w:r>
              <w:rPr>
                <w:rFonts w:hint="eastAsia" w:ascii="宋体" w:hAnsi="宋体" w:cs="宋体"/>
                <w:sz w:val="21"/>
                <w:szCs w:val="21"/>
              </w:rPr>
              <w:t>）</w:t>
            </w:r>
          </w:p>
        </w:tc>
        <w:tc>
          <w:tcPr>
            <w:tcW w:w="2693" w:type="dxa"/>
            <w:vAlign w:val="center"/>
          </w:tcPr>
          <w:p w14:paraId="51DC228F">
            <w:pPr>
              <w:spacing w:line="440" w:lineRule="exact"/>
              <w:ind w:firstLine="472" w:firstLineChars="225"/>
              <w:textAlignment w:val="baseline"/>
              <w:rPr>
                <w:rFonts w:hint="eastAsia" w:ascii="宋体" w:hAnsi="宋体" w:cs="宋体"/>
                <w:szCs w:val="21"/>
              </w:rPr>
            </w:pPr>
          </w:p>
        </w:tc>
      </w:tr>
    </w:tbl>
    <w:p w14:paraId="20A9D9B1">
      <w:pPr>
        <w:pStyle w:val="13"/>
        <w:spacing w:line="440" w:lineRule="exact"/>
        <w:ind w:firstLine="474" w:firstLineChars="225"/>
        <w:rPr>
          <w:rFonts w:hint="eastAsia" w:ascii="宋体" w:hAnsi="宋体" w:cs="宋体"/>
          <w:sz w:val="21"/>
          <w:szCs w:val="21"/>
        </w:rPr>
      </w:pPr>
    </w:p>
    <w:p w14:paraId="2F5EB2DB">
      <w:pPr>
        <w:widowControl/>
        <w:shd w:val="clear" w:color="auto" w:fill="FFFFFF"/>
        <w:spacing w:line="360" w:lineRule="auto"/>
        <w:jc w:val="left"/>
        <w:rPr>
          <w:rFonts w:hint="eastAsia" w:ascii="宋体" w:hAnsi="宋体" w:cs="宋体"/>
          <w:kern w:val="0"/>
          <w:szCs w:val="21"/>
        </w:rPr>
      </w:pPr>
    </w:p>
    <w:p w14:paraId="3A2BA397">
      <w:pPr>
        <w:widowControl/>
        <w:shd w:val="clear" w:color="auto" w:fill="FFFFFF"/>
        <w:spacing w:line="360" w:lineRule="auto"/>
        <w:jc w:val="left"/>
        <w:rPr>
          <w:rFonts w:hint="eastAsia" w:ascii="宋体" w:hAnsi="宋体" w:cs="宋体"/>
          <w:kern w:val="0"/>
          <w:szCs w:val="21"/>
        </w:rPr>
      </w:pPr>
      <w:r>
        <w:rPr>
          <w:rFonts w:hint="eastAsia" w:ascii="宋体" w:hAnsi="宋体" w:cs="宋体"/>
          <w:kern w:val="0"/>
          <w:szCs w:val="21"/>
        </w:rPr>
        <w:t>投标单位（加盖电子公章）：</w:t>
      </w:r>
      <w:r>
        <w:rPr>
          <w:rFonts w:hint="eastAsia" w:ascii="宋体" w:hAnsi="宋体" w:cs="宋体"/>
          <w:kern w:val="0"/>
          <w:szCs w:val="21"/>
          <w:u w:val="single"/>
        </w:rPr>
        <w:t>                             </w:t>
      </w:r>
    </w:p>
    <w:p w14:paraId="05E57E71">
      <w:pPr>
        <w:widowControl/>
        <w:shd w:val="clear" w:color="auto" w:fill="FFFFFF"/>
        <w:spacing w:line="360" w:lineRule="auto"/>
        <w:jc w:val="left"/>
        <w:rPr>
          <w:rFonts w:hint="eastAsia" w:ascii="宋体" w:hAnsi="宋体" w:cs="宋体"/>
          <w:kern w:val="0"/>
          <w:szCs w:val="21"/>
        </w:rPr>
      </w:pPr>
      <w:r>
        <w:rPr>
          <w:rFonts w:hint="eastAsia" w:ascii="宋体" w:hAnsi="宋体" w:cs="宋体"/>
          <w:kern w:val="0"/>
          <w:szCs w:val="21"/>
        </w:rPr>
        <w:t>说明：</w:t>
      </w:r>
    </w:p>
    <w:p w14:paraId="2391D7E7">
      <w:pPr>
        <w:widowControl/>
        <w:numPr>
          <w:ilvl w:val="0"/>
          <w:numId w:val="9"/>
        </w:numPr>
        <w:shd w:val="clear" w:color="auto" w:fill="FFFFFF"/>
        <w:spacing w:line="360" w:lineRule="auto"/>
        <w:ind w:firstLine="422" w:firstLineChars="200"/>
        <w:jc w:val="left"/>
        <w:rPr>
          <w:rFonts w:hint="eastAsia" w:ascii="宋体" w:hAnsi="宋体" w:cs="宋体"/>
          <w:b/>
          <w:bCs/>
          <w:kern w:val="0"/>
          <w:szCs w:val="21"/>
        </w:rPr>
      </w:pPr>
      <w:bookmarkStart w:id="22" w:name="_Toc12264"/>
      <w:r>
        <w:rPr>
          <w:rFonts w:hint="eastAsia" w:ascii="宋体" w:hAnsi="宋体" w:cs="宋体"/>
          <w:b/>
          <w:bCs/>
          <w:kern w:val="0"/>
          <w:szCs w:val="21"/>
        </w:rPr>
        <w:t>本项目仅接受一个价格，不得填报有选择性报价方案。如有优惠条款须注明，但不得影响报价，影响项目履约交付。</w:t>
      </w:r>
    </w:p>
    <w:p w14:paraId="04BBD308">
      <w:pPr>
        <w:widowControl/>
        <w:shd w:val="clear" w:color="auto" w:fill="FFFFFF"/>
        <w:spacing w:line="360" w:lineRule="auto"/>
        <w:ind w:firstLine="420"/>
        <w:jc w:val="left"/>
        <w:rPr>
          <w:rFonts w:hint="eastAsia" w:ascii="宋体" w:hAnsi="宋体" w:cs="宋体"/>
          <w:b/>
          <w:bCs/>
          <w:kern w:val="0"/>
          <w:szCs w:val="21"/>
        </w:rPr>
      </w:pPr>
      <w:r>
        <w:rPr>
          <w:rFonts w:hint="eastAsia" w:ascii="宋体" w:hAnsi="宋体" w:cs="宋体"/>
          <w:b/>
          <w:bCs/>
          <w:kern w:val="0"/>
          <w:szCs w:val="21"/>
        </w:rPr>
        <w:t>2、</w:t>
      </w:r>
      <w:r>
        <w:rPr>
          <w:rFonts w:hint="eastAsia" w:ascii="宋体" w:hAnsi="宋体" w:cs="宋体"/>
          <w:b/>
          <w:bCs/>
          <w:szCs w:val="21"/>
        </w:rPr>
        <w:t>“投标标的是否全部由小微企业提供</w:t>
      </w:r>
      <w:r>
        <w:rPr>
          <w:rFonts w:hint="eastAsia" w:ascii="宋体" w:hAnsi="宋体" w:cs="宋体"/>
          <w:b/>
          <w:bCs/>
          <w:szCs w:val="21"/>
          <w:lang w:val="zh-CN"/>
        </w:rPr>
        <w:t>”栏内填写“是”或“否”。如填写“是”，</w:t>
      </w:r>
      <w:r>
        <w:rPr>
          <w:rFonts w:hint="eastAsia" w:ascii="宋体" w:hAnsi="宋体" w:cs="宋体"/>
          <w:b/>
          <w:bCs/>
          <w:szCs w:val="21"/>
        </w:rPr>
        <w:t>投标人应按招标文件要求提供《中小企业声明函》《残疾人福利性单位声明函》《属于监狱企业的证明文件》。如未按要求提供、填写，不享受价格扣除。</w:t>
      </w:r>
    </w:p>
    <w:p w14:paraId="32B40CD3">
      <w:pPr>
        <w:pageBreakBefore/>
        <w:widowControl/>
        <w:shd w:val="clear" w:color="auto" w:fill="FFFFFF"/>
        <w:spacing w:line="360" w:lineRule="auto"/>
        <w:jc w:val="left"/>
        <w:rPr>
          <w:rFonts w:hint="eastAsia" w:ascii="宋体" w:hAnsi="宋体" w:cs="宋体"/>
          <w:b/>
          <w:bCs/>
          <w:kern w:val="0"/>
          <w:szCs w:val="21"/>
          <w:lang w:val="zh-CN"/>
        </w:rPr>
      </w:pPr>
      <w:r>
        <w:rPr>
          <w:rFonts w:hint="eastAsia" w:ascii="宋体" w:hAnsi="宋体" w:cs="宋体"/>
          <w:b/>
          <w:bCs/>
          <w:kern w:val="0"/>
          <w:szCs w:val="21"/>
          <w:lang w:val="zh-CN"/>
        </w:rPr>
        <w:t>附件四、分项报价表格式</w:t>
      </w:r>
      <w:bookmarkEnd w:id="22"/>
    </w:p>
    <w:tbl>
      <w:tblPr>
        <w:tblStyle w:val="46"/>
        <w:tblW w:w="5546" w:type="pct"/>
        <w:tblInd w:w="-88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3"/>
        <w:gridCol w:w="1613"/>
        <w:gridCol w:w="710"/>
        <w:gridCol w:w="1190"/>
        <w:gridCol w:w="1205"/>
        <w:gridCol w:w="1137"/>
        <w:gridCol w:w="1326"/>
        <w:gridCol w:w="1156"/>
        <w:gridCol w:w="1069"/>
      </w:tblGrid>
      <w:tr w14:paraId="5762A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blHeader/>
        </w:trPr>
        <w:tc>
          <w:tcPr>
            <w:tcW w:w="415" w:type="pct"/>
            <w:tcBorders>
              <w:top w:val="single" w:color="000000" w:sz="4" w:space="0"/>
              <w:left w:val="single" w:color="000000" w:sz="4" w:space="0"/>
              <w:bottom w:val="single" w:color="000000" w:sz="4" w:space="0"/>
              <w:right w:val="single" w:color="000000" w:sz="4" w:space="0"/>
            </w:tcBorders>
            <w:noWrap/>
            <w:vAlign w:val="center"/>
          </w:tcPr>
          <w:p w14:paraId="0C6C02A1">
            <w:pPr>
              <w:keepNext w:val="0"/>
              <w:keepLines w:val="0"/>
              <w:widowControl/>
              <w:suppressLineNumbers w:val="0"/>
              <w:jc w:val="center"/>
              <w:rPr>
                <w:rFonts w:hint="default" w:ascii="Times New Roman" w:hAnsi="Times New Roman" w:eastAsia="宋体" w:cs="Times New Roman"/>
                <w:b/>
                <w:bCs/>
                <w:i w:val="0"/>
                <w:iCs w:val="0"/>
                <w:color w:val="auto"/>
                <w:sz w:val="21"/>
                <w:szCs w:val="21"/>
                <w:highlight w:val="none"/>
                <w:u w:val="none"/>
              </w:rPr>
            </w:pPr>
            <w:r>
              <w:rPr>
                <w:rFonts w:hint="eastAsia" w:ascii="宋体" w:hAnsi="宋体" w:cs="宋体"/>
                <w:b/>
                <w:bCs/>
                <w:i w:val="0"/>
                <w:iCs w:val="0"/>
                <w:color w:val="auto"/>
                <w:sz w:val="21"/>
                <w:szCs w:val="21"/>
                <w:highlight w:val="none"/>
                <w:u w:val="none"/>
                <w:lang w:val="en-US" w:eastAsia="zh-CN" w:bidi="ar"/>
              </w:rPr>
              <w:t>采购包</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5BF35872">
            <w:pPr>
              <w:keepNext w:val="0"/>
              <w:keepLines w:val="0"/>
              <w:widowControl/>
              <w:suppressLineNumbers w:val="0"/>
              <w:jc w:val="center"/>
              <w:rPr>
                <w:rFonts w:hint="default" w:ascii="Times New Roman" w:hAnsi="Times New Roman" w:eastAsia="宋体" w:cs="Times New Roman"/>
                <w:b/>
                <w:bCs/>
                <w:i w:val="0"/>
                <w:iCs w:val="0"/>
                <w:color w:val="auto"/>
                <w:sz w:val="21"/>
                <w:szCs w:val="21"/>
                <w:highlight w:val="none"/>
                <w:u w:val="none"/>
                <w:lang w:val="en-US" w:eastAsia="zh-CN"/>
              </w:rPr>
            </w:pPr>
            <w:r>
              <w:rPr>
                <w:rFonts w:hint="eastAsia" w:eastAsia="宋体" w:cs="Times New Roman"/>
                <w:b/>
                <w:bCs/>
                <w:i w:val="0"/>
                <w:iCs w:val="0"/>
                <w:color w:val="auto"/>
                <w:sz w:val="21"/>
                <w:szCs w:val="21"/>
                <w:highlight w:val="none"/>
                <w:u w:val="none"/>
                <w:lang w:val="en-US" w:eastAsia="zh-CN"/>
              </w:rPr>
              <w:t>农贸市场（商超）名称</w:t>
            </w:r>
          </w:p>
        </w:tc>
        <w:tc>
          <w:tcPr>
            <w:tcW w:w="346" w:type="pct"/>
            <w:tcBorders>
              <w:top w:val="single" w:color="000000" w:sz="4" w:space="0"/>
              <w:left w:val="single" w:color="000000" w:sz="4" w:space="0"/>
              <w:bottom w:val="single" w:color="000000" w:sz="4" w:space="0"/>
              <w:right w:val="single" w:color="000000" w:sz="4" w:space="0"/>
            </w:tcBorders>
            <w:noWrap/>
            <w:vAlign w:val="center"/>
          </w:tcPr>
          <w:p w14:paraId="7CEFEA37">
            <w:pPr>
              <w:keepNext w:val="0"/>
              <w:keepLines w:val="0"/>
              <w:widowControl/>
              <w:suppressLineNumbers w:val="0"/>
              <w:jc w:val="center"/>
              <w:rPr>
                <w:rFonts w:hint="default" w:ascii="Times New Roman" w:hAnsi="Times New Roman" w:eastAsia="宋体" w:cs="Times New Roman"/>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lang w:val="en-US" w:eastAsia="zh-CN" w:bidi="ar"/>
              </w:rPr>
              <w:t>项目内容</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2CEB3EC0">
            <w:pPr>
              <w:keepNext w:val="0"/>
              <w:keepLines w:val="0"/>
              <w:widowControl/>
              <w:suppressLineNumbers w:val="0"/>
              <w:jc w:val="center"/>
              <w:rPr>
                <w:rFonts w:hint="eastAsia" w:ascii="宋体" w:hAnsi="宋体" w:eastAsia="宋体" w:cs="宋体"/>
                <w:b/>
                <w:bCs/>
                <w:i w:val="0"/>
                <w:iCs w:val="0"/>
                <w:color w:val="auto"/>
                <w:sz w:val="21"/>
                <w:szCs w:val="21"/>
                <w:highlight w:val="none"/>
                <w:u w:val="none"/>
                <w:lang w:val="en-US" w:eastAsia="zh-CN" w:bidi="ar"/>
              </w:rPr>
            </w:pPr>
            <w:r>
              <w:rPr>
                <w:rFonts w:hint="eastAsia" w:ascii="宋体" w:hAnsi="宋体" w:eastAsia="宋体" w:cs="宋体"/>
                <w:b/>
                <w:bCs/>
                <w:i w:val="0"/>
                <w:iCs w:val="0"/>
                <w:color w:val="auto"/>
                <w:sz w:val="21"/>
                <w:szCs w:val="21"/>
                <w:highlight w:val="none"/>
                <w:u w:val="none"/>
                <w:lang w:val="en-US" w:eastAsia="zh-CN" w:bidi="ar"/>
              </w:rPr>
              <w:t>单价</w:t>
            </w:r>
          </w:p>
          <w:p w14:paraId="1A4BAC2E">
            <w:pPr>
              <w:keepNext w:val="0"/>
              <w:keepLines w:val="0"/>
              <w:widowControl/>
              <w:suppressLineNumbers w:val="0"/>
              <w:jc w:val="center"/>
              <w:rPr>
                <w:rFonts w:hint="default" w:ascii="Times New Roman" w:hAnsi="Times New Roman" w:eastAsia="宋体" w:cs="Times New Roman"/>
                <w:b/>
                <w:bCs/>
                <w:i w:val="0"/>
                <w:iCs w:val="0"/>
                <w:color w:val="auto"/>
                <w:sz w:val="21"/>
                <w:szCs w:val="21"/>
                <w:highlight w:val="none"/>
                <w:u w:val="none"/>
              </w:rPr>
            </w:pPr>
            <w:r>
              <w:rPr>
                <w:rFonts w:hint="eastAsia" w:ascii="宋体" w:hAnsi="宋体" w:cs="宋体"/>
                <w:b/>
                <w:bCs/>
                <w:i w:val="0"/>
                <w:iCs w:val="0"/>
                <w:color w:val="auto"/>
                <w:sz w:val="21"/>
                <w:szCs w:val="21"/>
                <w:highlight w:val="none"/>
                <w:u w:val="none"/>
                <w:lang w:val="en-US" w:eastAsia="zh-CN" w:bidi="ar"/>
              </w:rPr>
              <w:t>限价</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14:paraId="337F3F1A">
            <w:pPr>
              <w:keepNext w:val="0"/>
              <w:keepLines w:val="0"/>
              <w:widowControl/>
              <w:suppressLineNumbers w:val="0"/>
              <w:jc w:val="center"/>
              <w:rPr>
                <w:rFonts w:hint="eastAsia" w:ascii="宋体" w:hAnsi="宋体" w:eastAsia="宋体" w:cs="宋体"/>
                <w:b/>
                <w:bCs/>
                <w:i w:val="0"/>
                <w:iCs w:val="0"/>
                <w:color w:val="auto"/>
                <w:sz w:val="21"/>
                <w:szCs w:val="21"/>
                <w:highlight w:val="none"/>
                <w:u w:val="none"/>
                <w:lang w:val="en-US" w:eastAsia="zh-CN" w:bidi="ar"/>
              </w:rPr>
            </w:pPr>
            <w:r>
              <w:rPr>
                <w:rFonts w:hint="eastAsia" w:ascii="宋体" w:hAnsi="宋体" w:eastAsia="宋体" w:cs="宋体"/>
                <w:b/>
                <w:bCs/>
                <w:i w:val="0"/>
                <w:iCs w:val="0"/>
                <w:color w:val="auto"/>
                <w:sz w:val="21"/>
                <w:szCs w:val="21"/>
                <w:highlight w:val="none"/>
                <w:u w:val="none"/>
                <w:lang w:val="en-US" w:eastAsia="zh-CN" w:bidi="ar"/>
              </w:rPr>
              <w:t>单价</w:t>
            </w:r>
          </w:p>
          <w:p w14:paraId="6164E8DA">
            <w:pPr>
              <w:keepNext w:val="0"/>
              <w:keepLines w:val="0"/>
              <w:widowControl/>
              <w:suppressLineNumbers w:val="0"/>
              <w:jc w:val="center"/>
              <w:rPr>
                <w:rFonts w:hint="eastAsia"/>
                <w:lang w:val="en-US" w:eastAsia="zh-CN"/>
              </w:rPr>
            </w:pPr>
            <w:r>
              <w:rPr>
                <w:rFonts w:hint="eastAsia" w:ascii="宋体" w:hAnsi="宋体" w:cs="宋体"/>
                <w:b/>
                <w:bCs/>
                <w:i w:val="0"/>
                <w:iCs w:val="0"/>
                <w:color w:val="auto"/>
                <w:sz w:val="21"/>
                <w:szCs w:val="21"/>
                <w:highlight w:val="none"/>
                <w:u w:val="none"/>
                <w:lang w:val="en-US" w:eastAsia="zh-CN" w:bidi="ar"/>
              </w:rPr>
              <w:t>报价</w:t>
            </w:r>
          </w:p>
        </w:tc>
        <w:tc>
          <w:tcPr>
            <w:tcW w:w="554" w:type="pct"/>
            <w:tcBorders>
              <w:top w:val="single" w:color="000000" w:sz="4" w:space="0"/>
              <w:left w:val="single" w:color="000000" w:sz="4" w:space="0"/>
              <w:bottom w:val="single" w:color="000000" w:sz="4" w:space="0"/>
              <w:right w:val="single" w:color="000000" w:sz="4" w:space="0"/>
            </w:tcBorders>
            <w:noWrap w:val="0"/>
            <w:vAlign w:val="center"/>
          </w:tcPr>
          <w:p w14:paraId="24928C4F">
            <w:pPr>
              <w:keepNext w:val="0"/>
              <w:keepLines w:val="0"/>
              <w:widowControl/>
              <w:suppressLineNumbers w:val="0"/>
              <w:jc w:val="center"/>
              <w:rPr>
                <w:rFonts w:hint="default" w:ascii="Times New Roman" w:hAnsi="Times New Roman" w:eastAsia="宋体" w:cs="Times New Roman"/>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lang w:val="en-US" w:eastAsia="zh-CN" w:bidi="ar"/>
              </w:rPr>
              <w:t>数量</w:t>
            </w:r>
          </w:p>
        </w:tc>
        <w:tc>
          <w:tcPr>
            <w:tcW w:w="646" w:type="pct"/>
            <w:tcBorders>
              <w:top w:val="single" w:color="000000" w:sz="4" w:space="0"/>
              <w:left w:val="single" w:color="000000" w:sz="4" w:space="0"/>
              <w:bottom w:val="single" w:color="000000" w:sz="4" w:space="0"/>
              <w:right w:val="single" w:color="000000" w:sz="4" w:space="0"/>
            </w:tcBorders>
            <w:noWrap/>
            <w:vAlign w:val="center"/>
          </w:tcPr>
          <w:p w14:paraId="050E2D92">
            <w:pPr>
              <w:keepNext w:val="0"/>
              <w:keepLines w:val="0"/>
              <w:widowControl/>
              <w:suppressLineNumbers w:val="0"/>
              <w:jc w:val="center"/>
              <w:rPr>
                <w:rFonts w:hint="default" w:ascii="Times New Roman" w:hAnsi="Times New Roman" w:eastAsia="宋体" w:cs="Times New Roman"/>
                <w:b/>
                <w:bCs/>
                <w:i w:val="0"/>
                <w:iCs w:val="0"/>
                <w:color w:val="auto"/>
                <w:sz w:val="21"/>
                <w:szCs w:val="21"/>
                <w:highlight w:val="none"/>
                <w:u w:val="none"/>
              </w:rPr>
            </w:pPr>
            <w:r>
              <w:rPr>
                <w:rFonts w:hint="eastAsia" w:ascii="宋体" w:hAnsi="宋体" w:cs="宋体"/>
                <w:b/>
                <w:bCs/>
                <w:i w:val="0"/>
                <w:iCs w:val="0"/>
                <w:color w:val="auto"/>
                <w:sz w:val="21"/>
                <w:szCs w:val="21"/>
                <w:highlight w:val="none"/>
                <w:u w:val="none"/>
                <w:lang w:val="en-US" w:eastAsia="zh-CN" w:bidi="ar"/>
              </w:rPr>
              <w:t>分包最高总限价</w:t>
            </w:r>
            <w:r>
              <w:rPr>
                <w:rFonts w:hint="eastAsia" w:ascii="宋体" w:hAnsi="宋体" w:eastAsia="宋体" w:cs="宋体"/>
                <w:b/>
                <w:bCs/>
                <w:i w:val="0"/>
                <w:iCs w:val="0"/>
                <w:color w:val="auto"/>
                <w:sz w:val="21"/>
                <w:szCs w:val="21"/>
                <w:highlight w:val="none"/>
                <w:u w:val="none"/>
                <w:lang w:val="en-US" w:eastAsia="zh-CN" w:bidi="ar"/>
              </w:rPr>
              <w:t>（元）</w:t>
            </w:r>
          </w:p>
        </w:tc>
        <w:tc>
          <w:tcPr>
            <w:tcW w:w="563" w:type="pct"/>
            <w:tcBorders>
              <w:top w:val="single" w:color="000000" w:sz="4" w:space="0"/>
              <w:left w:val="single" w:color="000000" w:sz="4" w:space="0"/>
              <w:bottom w:val="single" w:color="000000" w:sz="4" w:space="0"/>
              <w:right w:val="single" w:color="000000" w:sz="4" w:space="0"/>
            </w:tcBorders>
            <w:noWrap w:val="0"/>
            <w:vAlign w:val="center"/>
          </w:tcPr>
          <w:p w14:paraId="1D7709DC">
            <w:pPr>
              <w:keepNext w:val="0"/>
              <w:keepLines w:val="0"/>
              <w:widowControl/>
              <w:suppressLineNumbers w:val="0"/>
              <w:jc w:val="center"/>
              <w:rPr>
                <w:rFonts w:hint="default" w:ascii="Times New Roman" w:hAnsi="Times New Roman" w:eastAsia="宋体" w:cs="Times New Roman"/>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lang w:val="en-US" w:eastAsia="zh-CN" w:bidi="ar"/>
              </w:rPr>
              <w:t>合计（元）</w:t>
            </w:r>
          </w:p>
        </w:tc>
        <w:tc>
          <w:tcPr>
            <w:tcW w:w="521" w:type="pct"/>
            <w:tcBorders>
              <w:top w:val="single" w:color="000000" w:sz="4" w:space="0"/>
              <w:left w:val="single" w:color="000000" w:sz="4" w:space="0"/>
              <w:bottom w:val="single" w:color="000000" w:sz="4" w:space="0"/>
              <w:right w:val="single" w:color="000000" w:sz="4" w:space="0"/>
            </w:tcBorders>
            <w:noWrap w:val="0"/>
            <w:vAlign w:val="center"/>
          </w:tcPr>
          <w:p w14:paraId="2376DECB">
            <w:pPr>
              <w:keepNext w:val="0"/>
              <w:keepLines w:val="0"/>
              <w:widowControl/>
              <w:suppressLineNumbers w:val="0"/>
              <w:jc w:val="center"/>
              <w:rPr>
                <w:rFonts w:hint="default" w:ascii="宋体" w:hAnsi="宋体" w:cs="宋体"/>
                <w:b/>
                <w:bCs/>
                <w:i w:val="0"/>
                <w:iCs w:val="0"/>
                <w:color w:val="auto"/>
                <w:sz w:val="21"/>
                <w:szCs w:val="21"/>
                <w:highlight w:val="none"/>
                <w:u w:val="none"/>
                <w:lang w:val="en-US" w:eastAsia="zh-CN" w:bidi="ar"/>
              </w:rPr>
            </w:pPr>
            <w:r>
              <w:rPr>
                <w:rFonts w:hint="eastAsia" w:ascii="宋体" w:hAnsi="宋体" w:cs="宋体"/>
                <w:b/>
                <w:bCs/>
                <w:i w:val="0"/>
                <w:iCs w:val="0"/>
                <w:color w:val="auto"/>
                <w:sz w:val="21"/>
                <w:szCs w:val="21"/>
                <w:highlight w:val="none"/>
                <w:u w:val="none"/>
                <w:lang w:val="en-US" w:eastAsia="zh-CN" w:bidi="ar"/>
              </w:rPr>
              <w:t>备注</w:t>
            </w:r>
          </w:p>
        </w:tc>
      </w:tr>
      <w:tr w14:paraId="65247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blHeader/>
        </w:trPr>
        <w:tc>
          <w:tcPr>
            <w:tcW w:w="415" w:type="pct"/>
            <w:tcBorders>
              <w:top w:val="single" w:color="000000" w:sz="4" w:space="0"/>
              <w:left w:val="single" w:color="000000" w:sz="4" w:space="0"/>
              <w:bottom w:val="single" w:color="000000" w:sz="4" w:space="0"/>
              <w:right w:val="single" w:color="000000" w:sz="4" w:space="0"/>
            </w:tcBorders>
            <w:noWrap/>
            <w:vAlign w:val="center"/>
          </w:tcPr>
          <w:p w14:paraId="464959F8">
            <w:pPr>
              <w:keepNext w:val="0"/>
              <w:keepLines w:val="0"/>
              <w:widowControl/>
              <w:suppressLineNumbers w:val="0"/>
              <w:jc w:val="center"/>
              <w:rPr>
                <w:rFonts w:hint="eastAsia" w:ascii="宋体" w:hAnsi="宋体" w:eastAsia="宋体" w:cs="宋体"/>
                <w:b/>
                <w:bCs/>
                <w:i w:val="0"/>
                <w:iCs w:val="0"/>
                <w:color w:val="auto"/>
                <w:sz w:val="21"/>
                <w:szCs w:val="21"/>
                <w:highlight w:val="none"/>
                <w:u w:val="none"/>
                <w:lang w:val="en-US" w:eastAsia="zh-CN" w:bidi="ar"/>
              </w:rPr>
            </w:pPr>
            <w:r>
              <w:rPr>
                <w:rFonts w:hint="eastAsia" w:ascii="宋体" w:hAnsi="宋体" w:cs="宋体"/>
                <w:b/>
                <w:bCs/>
                <w:i w:val="0"/>
                <w:iCs w:val="0"/>
                <w:color w:val="auto"/>
                <w:sz w:val="21"/>
                <w:szCs w:val="21"/>
                <w:highlight w:val="none"/>
                <w:u w:val="none"/>
                <w:lang w:val="en-US" w:eastAsia="zh-CN" w:bidi="ar"/>
              </w:rPr>
              <w:t>采购包</w:t>
            </w:r>
            <w:r>
              <w:rPr>
                <w:rFonts w:hint="eastAsia" w:ascii="宋体" w:hAnsi="宋体" w:cs="宋体"/>
                <w:i w:val="0"/>
                <w:iCs w:val="0"/>
                <w:color w:val="auto"/>
                <w:sz w:val="21"/>
                <w:szCs w:val="21"/>
                <w:highlight w:val="none"/>
                <w:u w:val="none"/>
                <w:lang w:val="en-US" w:eastAsia="zh-CN" w:bidi="ar"/>
              </w:rPr>
              <w:t>1</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00806E67">
            <w:pPr>
              <w:keepNext w:val="0"/>
              <w:keepLines w:val="0"/>
              <w:widowControl/>
              <w:suppressLineNumbers w:val="0"/>
              <w:jc w:val="left"/>
              <w:rPr>
                <w:rFonts w:hint="eastAsia" w:eastAsia="宋体" w:cs="Times New Roman"/>
                <w:b/>
                <w:bCs/>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bidi="ar"/>
              </w:rPr>
              <w:t>象山农贸市场、鼎顺农贸市场</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小浦生鲜市集、大润发超市（浦口店）、万客隆鲸选超市（雨山龙湖天街店）</w:t>
            </w:r>
          </w:p>
        </w:tc>
        <w:tc>
          <w:tcPr>
            <w:tcW w:w="346" w:type="pct"/>
            <w:tcBorders>
              <w:top w:val="single" w:color="000000" w:sz="4" w:space="0"/>
              <w:left w:val="single" w:color="000000" w:sz="4" w:space="0"/>
              <w:bottom w:val="single" w:color="000000" w:sz="4" w:space="0"/>
              <w:right w:val="single" w:color="000000" w:sz="4" w:space="0"/>
            </w:tcBorders>
            <w:noWrap/>
            <w:vAlign w:val="center"/>
          </w:tcPr>
          <w:p w14:paraId="0CF7020C">
            <w:pPr>
              <w:keepNext w:val="0"/>
              <w:keepLines w:val="0"/>
              <w:widowControl/>
              <w:suppressLineNumbers w:val="0"/>
              <w:jc w:val="center"/>
              <w:rPr>
                <w:rFonts w:hint="eastAsia" w:ascii="宋体" w:hAnsi="宋体" w:eastAsia="宋体" w:cs="宋体"/>
                <w:b/>
                <w:bCs/>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日常检测</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61510FB1">
            <w:pPr>
              <w:keepNext w:val="0"/>
              <w:keepLines w:val="0"/>
              <w:widowControl/>
              <w:suppressLineNumbers w:val="0"/>
              <w:jc w:val="center"/>
              <w:rPr>
                <w:rFonts w:hint="eastAsia" w:ascii="宋体" w:hAnsi="宋体" w:eastAsia="宋体" w:cs="宋体"/>
                <w:b/>
                <w:bCs/>
                <w:i w:val="0"/>
                <w:iCs w:val="0"/>
                <w:color w:val="auto"/>
                <w:sz w:val="21"/>
                <w:szCs w:val="21"/>
                <w:highlight w:val="none"/>
                <w:u w:val="none"/>
                <w:lang w:val="en-US" w:eastAsia="zh-CN" w:bidi="ar"/>
              </w:rPr>
            </w:pPr>
            <w:r>
              <w:rPr>
                <w:rFonts w:hint="eastAsia" w:cs="Times New Roman"/>
                <w:i w:val="0"/>
                <w:iCs w:val="0"/>
                <w:color w:val="auto"/>
                <w:sz w:val="21"/>
                <w:szCs w:val="21"/>
                <w:highlight w:val="none"/>
                <w:u w:val="none"/>
                <w:lang w:val="en-US" w:eastAsia="zh-CN" w:bidi="ar"/>
              </w:rPr>
              <w:t>21</w:t>
            </w:r>
            <w:r>
              <w:rPr>
                <w:rFonts w:hint="eastAsia" w:ascii="宋体" w:hAnsi="宋体" w:eastAsia="宋体" w:cs="宋体"/>
                <w:i w:val="0"/>
                <w:iCs w:val="0"/>
                <w:color w:val="auto"/>
                <w:sz w:val="21"/>
                <w:szCs w:val="21"/>
                <w:highlight w:val="none"/>
                <w:u w:val="none"/>
                <w:lang w:val="en-US" w:eastAsia="zh-CN" w:bidi="ar"/>
              </w:rPr>
              <w:t>元</w:t>
            </w:r>
            <w:r>
              <w:rPr>
                <w:rFonts w:hint="default" w:ascii="Times New Roman" w:hAnsi="Times New Roman" w:eastAsia="宋体" w:cs="Times New Roman"/>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批</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14:paraId="1D320595">
            <w:pPr>
              <w:keepNext w:val="0"/>
              <w:keepLines w:val="0"/>
              <w:widowControl/>
              <w:suppressLineNumbers w:val="0"/>
              <w:jc w:val="both"/>
              <w:rPr>
                <w:rFonts w:hint="eastAsia" w:cs="Times New Roman"/>
                <w:i w:val="0"/>
                <w:iCs w:val="0"/>
                <w:color w:val="auto"/>
                <w:sz w:val="21"/>
                <w:szCs w:val="21"/>
                <w:highlight w:val="none"/>
                <w:u w:val="single"/>
                <w:lang w:val="en-US" w:eastAsia="zh-CN" w:bidi="ar"/>
              </w:rPr>
            </w:pPr>
            <w:r>
              <w:rPr>
                <w:rFonts w:hint="eastAsia" w:cs="Times New Roman"/>
                <w:i w:val="0"/>
                <w:iCs w:val="0"/>
                <w:color w:val="auto"/>
                <w:sz w:val="21"/>
                <w:szCs w:val="21"/>
                <w:highlight w:val="none"/>
                <w:u w:val="single"/>
                <w:lang w:val="en-US" w:eastAsia="zh-CN" w:bidi="ar"/>
              </w:rPr>
              <w:t xml:space="preserve">        </w:t>
            </w:r>
          </w:p>
          <w:p w14:paraId="230B1EE8">
            <w:pPr>
              <w:keepNext w:val="0"/>
              <w:keepLines w:val="0"/>
              <w:widowControl/>
              <w:suppressLineNumbers w:val="0"/>
              <w:jc w:val="both"/>
              <w:rPr>
                <w:rFonts w:hint="eastAsia" w:ascii="宋体" w:hAnsi="宋体" w:cs="宋体"/>
                <w:b/>
                <w:bCs/>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元</w:t>
            </w:r>
            <w:r>
              <w:rPr>
                <w:rFonts w:hint="default" w:ascii="Times New Roman" w:hAnsi="Times New Roman" w:eastAsia="宋体" w:cs="Times New Roman"/>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批次</w:t>
            </w:r>
          </w:p>
        </w:tc>
        <w:tc>
          <w:tcPr>
            <w:tcW w:w="554" w:type="pct"/>
            <w:tcBorders>
              <w:top w:val="single" w:color="000000" w:sz="4" w:space="0"/>
              <w:left w:val="single" w:color="000000" w:sz="4" w:space="0"/>
              <w:bottom w:val="single" w:color="000000" w:sz="4" w:space="0"/>
              <w:right w:val="single" w:color="000000" w:sz="4" w:space="0"/>
            </w:tcBorders>
            <w:noWrap w:val="0"/>
            <w:vAlign w:val="center"/>
          </w:tcPr>
          <w:p w14:paraId="45CFDC90">
            <w:pPr>
              <w:keepNext w:val="0"/>
              <w:keepLines w:val="0"/>
              <w:widowControl/>
              <w:suppressLineNumbers w:val="0"/>
              <w:jc w:val="center"/>
              <w:rPr>
                <w:rFonts w:hint="eastAsia" w:ascii="宋体" w:hAnsi="宋体" w:eastAsia="宋体" w:cs="宋体"/>
                <w:b/>
                <w:bCs/>
                <w:i w:val="0"/>
                <w:iCs w:val="0"/>
                <w:color w:val="auto"/>
                <w:sz w:val="21"/>
                <w:szCs w:val="21"/>
                <w:highlight w:val="none"/>
                <w:u w:val="none"/>
                <w:lang w:val="en-US" w:eastAsia="zh-CN" w:bidi="ar"/>
              </w:rPr>
            </w:pPr>
            <w:r>
              <w:rPr>
                <w:rFonts w:hint="eastAsia" w:cs="Times New Roman"/>
                <w:i w:val="0"/>
                <w:iCs w:val="0"/>
                <w:color w:val="auto"/>
                <w:sz w:val="21"/>
                <w:szCs w:val="21"/>
                <w:highlight w:val="none"/>
                <w:u w:val="none"/>
                <w:lang w:val="en-US" w:eastAsia="zh-CN" w:bidi="ar"/>
              </w:rPr>
              <w:t>100*360</w:t>
            </w:r>
            <w:r>
              <w:rPr>
                <w:rFonts w:hint="eastAsia" w:ascii="宋体" w:hAnsi="宋体" w:eastAsia="宋体" w:cs="宋体"/>
                <w:i w:val="0"/>
                <w:iCs w:val="0"/>
                <w:color w:val="auto"/>
                <w:sz w:val="21"/>
                <w:szCs w:val="21"/>
                <w:highlight w:val="none"/>
                <w:u w:val="none"/>
                <w:lang w:val="en-US" w:eastAsia="zh-CN" w:bidi="ar"/>
              </w:rPr>
              <w:t>批次</w:t>
            </w:r>
          </w:p>
        </w:tc>
        <w:tc>
          <w:tcPr>
            <w:tcW w:w="646" w:type="pct"/>
            <w:tcBorders>
              <w:top w:val="single" w:color="000000" w:sz="4" w:space="0"/>
              <w:left w:val="single" w:color="000000" w:sz="4" w:space="0"/>
              <w:bottom w:val="single" w:color="000000" w:sz="4" w:space="0"/>
              <w:right w:val="single" w:color="000000" w:sz="4" w:space="0"/>
            </w:tcBorders>
            <w:noWrap/>
            <w:vAlign w:val="center"/>
          </w:tcPr>
          <w:p w14:paraId="203166A1">
            <w:pPr>
              <w:keepNext w:val="0"/>
              <w:keepLines w:val="0"/>
              <w:widowControl/>
              <w:suppressLineNumbers w:val="0"/>
              <w:jc w:val="center"/>
              <w:rPr>
                <w:rFonts w:hint="eastAsia" w:ascii="宋体" w:hAnsi="宋体" w:eastAsia="宋体" w:cs="宋体"/>
                <w:b/>
                <w:bCs/>
                <w:i w:val="0"/>
                <w:iCs w:val="0"/>
                <w:color w:val="auto"/>
                <w:sz w:val="21"/>
                <w:szCs w:val="21"/>
                <w:highlight w:val="none"/>
                <w:u w:val="none"/>
                <w:lang w:val="en-US" w:eastAsia="zh-CN" w:bidi="ar"/>
              </w:rPr>
            </w:pPr>
            <w:r>
              <w:rPr>
                <w:rFonts w:hint="eastAsia" w:cs="Times New Roman"/>
                <w:i w:val="0"/>
                <w:iCs w:val="0"/>
                <w:color w:val="auto"/>
                <w:sz w:val="21"/>
                <w:szCs w:val="21"/>
                <w:highlight w:val="none"/>
                <w:u w:val="none"/>
                <w:lang w:val="en-US" w:eastAsia="zh-CN" w:bidi="ar"/>
              </w:rPr>
              <w:t>756000</w:t>
            </w:r>
          </w:p>
        </w:tc>
        <w:tc>
          <w:tcPr>
            <w:tcW w:w="563" w:type="pct"/>
            <w:tcBorders>
              <w:top w:val="single" w:color="000000" w:sz="4" w:space="0"/>
              <w:left w:val="single" w:color="000000" w:sz="4" w:space="0"/>
              <w:bottom w:val="single" w:color="000000" w:sz="4" w:space="0"/>
              <w:right w:val="single" w:color="000000" w:sz="4" w:space="0"/>
            </w:tcBorders>
            <w:noWrap w:val="0"/>
            <w:vAlign w:val="center"/>
          </w:tcPr>
          <w:p w14:paraId="607FCBB4">
            <w:pPr>
              <w:keepNext w:val="0"/>
              <w:keepLines w:val="0"/>
              <w:widowControl/>
              <w:suppressLineNumbers w:val="0"/>
              <w:jc w:val="center"/>
              <w:rPr>
                <w:rFonts w:hint="eastAsia" w:ascii="宋体" w:hAnsi="宋体" w:cs="宋体"/>
                <w:b/>
                <w:bCs/>
                <w:i w:val="0"/>
                <w:iCs w:val="0"/>
                <w:color w:val="auto"/>
                <w:sz w:val="21"/>
                <w:szCs w:val="21"/>
                <w:highlight w:val="none"/>
                <w:u w:val="none"/>
                <w:lang w:val="en-US" w:eastAsia="zh-CN" w:bidi="ar"/>
              </w:rPr>
            </w:pPr>
          </w:p>
        </w:tc>
        <w:tc>
          <w:tcPr>
            <w:tcW w:w="521" w:type="pct"/>
            <w:tcBorders>
              <w:top w:val="single" w:color="000000" w:sz="4" w:space="0"/>
              <w:left w:val="single" w:color="000000" w:sz="4" w:space="0"/>
              <w:bottom w:val="single" w:color="000000" w:sz="4" w:space="0"/>
              <w:right w:val="single" w:color="000000" w:sz="4" w:space="0"/>
            </w:tcBorders>
            <w:noWrap w:val="0"/>
            <w:vAlign w:val="center"/>
          </w:tcPr>
          <w:p w14:paraId="791E560B">
            <w:pPr>
              <w:keepNext w:val="0"/>
              <w:keepLines w:val="0"/>
              <w:widowControl/>
              <w:suppressLineNumbers w:val="0"/>
              <w:jc w:val="center"/>
              <w:rPr>
                <w:rFonts w:hint="eastAsia" w:ascii="宋体" w:hAnsi="宋体" w:cs="宋体"/>
                <w:b/>
                <w:bCs/>
                <w:i w:val="0"/>
                <w:iCs w:val="0"/>
                <w:color w:val="auto"/>
                <w:sz w:val="21"/>
                <w:szCs w:val="21"/>
                <w:highlight w:val="none"/>
                <w:u w:val="none"/>
                <w:lang w:val="en-US" w:eastAsia="zh-CN" w:bidi="ar"/>
              </w:rPr>
            </w:pPr>
            <w:r>
              <w:rPr>
                <w:rFonts w:hint="eastAsia" w:ascii="宋体" w:hAnsi="宋体" w:cs="宋体"/>
                <w:b/>
                <w:bCs/>
                <w:i w:val="0"/>
                <w:iCs w:val="0"/>
                <w:color w:val="auto"/>
                <w:sz w:val="21"/>
                <w:szCs w:val="21"/>
                <w:highlight w:val="none"/>
                <w:u w:val="none"/>
                <w:lang w:val="en-US" w:eastAsia="zh-CN" w:bidi="ar"/>
              </w:rPr>
              <w:t>采购包</w:t>
            </w:r>
            <w:r>
              <w:rPr>
                <w:rFonts w:hint="eastAsia" w:ascii="宋体" w:hAnsi="宋体" w:cs="宋体"/>
                <w:i w:val="0"/>
                <w:iCs w:val="0"/>
                <w:color w:val="auto"/>
                <w:sz w:val="21"/>
                <w:szCs w:val="21"/>
                <w:highlight w:val="none"/>
                <w:u w:val="none"/>
                <w:lang w:val="en-US" w:eastAsia="zh-CN" w:bidi="ar"/>
              </w:rPr>
              <w:t>1</w:t>
            </w:r>
            <w:r>
              <w:rPr>
                <w:rFonts w:hint="eastAsia" w:cs="Times New Roman"/>
                <w:i w:val="0"/>
                <w:iCs w:val="0"/>
                <w:color w:val="auto"/>
                <w:sz w:val="21"/>
                <w:szCs w:val="21"/>
                <w:highlight w:val="none"/>
                <w:u w:val="none"/>
                <w:lang w:val="en-US" w:eastAsia="zh-CN" w:bidi="ar"/>
              </w:rPr>
              <w:t>苏采云系统填写单价</w:t>
            </w:r>
          </w:p>
        </w:tc>
      </w:tr>
      <w:tr w14:paraId="4919E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blHeader/>
        </w:trPr>
        <w:tc>
          <w:tcPr>
            <w:tcW w:w="415" w:type="pct"/>
            <w:tcBorders>
              <w:top w:val="single" w:color="000000" w:sz="4" w:space="0"/>
              <w:left w:val="single" w:color="000000" w:sz="4" w:space="0"/>
              <w:bottom w:val="single" w:color="000000" w:sz="4" w:space="0"/>
              <w:right w:val="single" w:color="000000" w:sz="4" w:space="0"/>
            </w:tcBorders>
            <w:noWrap/>
            <w:vAlign w:val="center"/>
          </w:tcPr>
          <w:p w14:paraId="4AC02B27">
            <w:pPr>
              <w:keepNext w:val="0"/>
              <w:keepLines w:val="0"/>
              <w:widowControl/>
              <w:suppressLineNumbers w:val="0"/>
              <w:jc w:val="center"/>
              <w:rPr>
                <w:rFonts w:hint="eastAsia" w:ascii="宋体" w:hAnsi="宋体" w:eastAsia="宋体" w:cs="宋体"/>
                <w:b/>
                <w:bCs/>
                <w:i w:val="0"/>
                <w:iCs w:val="0"/>
                <w:color w:val="auto"/>
                <w:sz w:val="21"/>
                <w:szCs w:val="21"/>
                <w:highlight w:val="none"/>
                <w:u w:val="none"/>
                <w:lang w:val="en-US" w:eastAsia="zh-CN" w:bidi="ar"/>
              </w:rPr>
            </w:pPr>
            <w:r>
              <w:rPr>
                <w:rFonts w:hint="eastAsia" w:ascii="宋体" w:hAnsi="宋体" w:cs="宋体"/>
                <w:b/>
                <w:bCs/>
                <w:i w:val="0"/>
                <w:iCs w:val="0"/>
                <w:color w:val="auto"/>
                <w:sz w:val="21"/>
                <w:szCs w:val="21"/>
                <w:highlight w:val="none"/>
                <w:u w:val="none"/>
                <w:lang w:val="en-US" w:eastAsia="zh-CN" w:bidi="ar"/>
              </w:rPr>
              <w:t>采购包</w:t>
            </w:r>
            <w:r>
              <w:rPr>
                <w:rFonts w:hint="eastAsia" w:ascii="宋体" w:hAnsi="宋体" w:cs="宋体"/>
                <w:i w:val="0"/>
                <w:iCs w:val="0"/>
                <w:color w:val="auto"/>
                <w:sz w:val="21"/>
                <w:szCs w:val="21"/>
                <w:highlight w:val="none"/>
                <w:u w:val="none"/>
                <w:lang w:val="en-US" w:eastAsia="zh-CN" w:bidi="ar"/>
              </w:rPr>
              <w:t>2</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7AF2DDD7">
            <w:pPr>
              <w:keepNext w:val="0"/>
              <w:keepLines w:val="0"/>
              <w:widowControl/>
              <w:suppressLineNumbers w:val="0"/>
              <w:jc w:val="left"/>
              <w:rPr>
                <w:rFonts w:hint="eastAsia" w:eastAsia="宋体" w:cs="Times New Roman"/>
                <w:b/>
                <w:bCs/>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bidi="ar"/>
              </w:rPr>
              <w:t>凡星农贸市场</w:t>
            </w:r>
            <w:r>
              <w:rPr>
                <w:rFonts w:hint="eastAsia" w:ascii="宋体" w:hAnsi="宋体" w:cs="宋体"/>
                <w:i w:val="0"/>
                <w:iCs w:val="0"/>
                <w:color w:val="auto"/>
                <w:sz w:val="21"/>
                <w:szCs w:val="21"/>
                <w:highlight w:val="none"/>
                <w:u w:val="none"/>
                <w:lang w:val="en-US" w:eastAsia="zh-CN" w:bidi="ar"/>
              </w:rPr>
              <w:t>、八里社区农贸市场、四季生鲜农贸市场、江佑铂庭</w:t>
            </w:r>
            <w:r>
              <w:rPr>
                <w:rFonts w:hint="eastAsia" w:ascii="宋体" w:hAnsi="宋体" w:eastAsia="宋体" w:cs="宋体"/>
                <w:i w:val="0"/>
                <w:iCs w:val="0"/>
                <w:color w:val="auto"/>
                <w:sz w:val="21"/>
                <w:szCs w:val="21"/>
                <w:highlight w:val="none"/>
                <w:u w:val="none"/>
                <w:lang w:val="en-US" w:eastAsia="zh-CN" w:bidi="ar"/>
              </w:rPr>
              <w:t>农贸市场</w:t>
            </w:r>
            <w:r>
              <w:rPr>
                <w:rFonts w:hint="eastAsia" w:ascii="宋体" w:hAnsi="宋体" w:cs="宋体"/>
                <w:i w:val="0"/>
                <w:iCs w:val="0"/>
                <w:color w:val="auto"/>
                <w:sz w:val="21"/>
                <w:szCs w:val="21"/>
                <w:highlight w:val="none"/>
                <w:u w:val="none"/>
                <w:lang w:val="en-US" w:eastAsia="zh-CN" w:bidi="ar"/>
              </w:rPr>
              <w:t>、高旺农贸市场</w:t>
            </w:r>
          </w:p>
        </w:tc>
        <w:tc>
          <w:tcPr>
            <w:tcW w:w="346" w:type="pct"/>
            <w:tcBorders>
              <w:top w:val="single" w:color="000000" w:sz="4" w:space="0"/>
              <w:left w:val="single" w:color="000000" w:sz="4" w:space="0"/>
              <w:bottom w:val="single" w:color="000000" w:sz="4" w:space="0"/>
              <w:right w:val="single" w:color="000000" w:sz="4" w:space="0"/>
            </w:tcBorders>
            <w:noWrap/>
            <w:vAlign w:val="center"/>
          </w:tcPr>
          <w:p w14:paraId="3AF35116">
            <w:pPr>
              <w:keepNext w:val="0"/>
              <w:keepLines w:val="0"/>
              <w:widowControl/>
              <w:suppressLineNumbers w:val="0"/>
              <w:jc w:val="center"/>
              <w:rPr>
                <w:rFonts w:hint="eastAsia" w:ascii="宋体" w:hAnsi="宋体" w:eastAsia="宋体" w:cs="宋体"/>
                <w:b/>
                <w:bCs/>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日常检测</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00739371">
            <w:pPr>
              <w:keepNext w:val="0"/>
              <w:keepLines w:val="0"/>
              <w:widowControl/>
              <w:suppressLineNumbers w:val="0"/>
              <w:jc w:val="center"/>
              <w:rPr>
                <w:rFonts w:hint="eastAsia" w:ascii="宋体" w:hAnsi="宋体" w:eastAsia="宋体" w:cs="宋体"/>
                <w:b/>
                <w:bCs/>
                <w:i w:val="0"/>
                <w:iCs w:val="0"/>
                <w:color w:val="auto"/>
                <w:sz w:val="21"/>
                <w:szCs w:val="21"/>
                <w:highlight w:val="none"/>
                <w:u w:val="none"/>
                <w:lang w:val="en-US" w:eastAsia="zh-CN" w:bidi="ar"/>
              </w:rPr>
            </w:pPr>
            <w:r>
              <w:rPr>
                <w:rFonts w:hint="eastAsia" w:cs="Times New Roman"/>
                <w:i w:val="0"/>
                <w:iCs w:val="0"/>
                <w:color w:val="auto"/>
                <w:sz w:val="21"/>
                <w:szCs w:val="21"/>
                <w:highlight w:val="none"/>
                <w:u w:val="none"/>
                <w:lang w:val="en-US" w:eastAsia="zh-CN" w:bidi="ar"/>
              </w:rPr>
              <w:t>21</w:t>
            </w:r>
            <w:r>
              <w:rPr>
                <w:rFonts w:hint="eastAsia" w:ascii="宋体" w:hAnsi="宋体" w:eastAsia="宋体" w:cs="宋体"/>
                <w:i w:val="0"/>
                <w:iCs w:val="0"/>
                <w:color w:val="auto"/>
                <w:sz w:val="21"/>
                <w:szCs w:val="21"/>
                <w:highlight w:val="none"/>
                <w:u w:val="none"/>
                <w:lang w:val="en-US" w:eastAsia="zh-CN" w:bidi="ar"/>
              </w:rPr>
              <w:t>元</w:t>
            </w:r>
            <w:r>
              <w:rPr>
                <w:rFonts w:hint="default" w:ascii="Times New Roman" w:hAnsi="Times New Roman" w:eastAsia="宋体" w:cs="Times New Roman"/>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批</w:t>
            </w:r>
          </w:p>
        </w:tc>
        <w:tc>
          <w:tcPr>
            <w:tcW w:w="1205" w:type="dxa"/>
            <w:tcBorders>
              <w:top w:val="single" w:color="000000" w:sz="4" w:space="0"/>
              <w:left w:val="single" w:color="000000" w:sz="4" w:space="0"/>
              <w:bottom w:val="single" w:color="000000" w:sz="4" w:space="0"/>
              <w:right w:val="single" w:color="000000" w:sz="4" w:space="0"/>
            </w:tcBorders>
            <w:noWrap w:val="0"/>
            <w:vAlign w:val="center"/>
          </w:tcPr>
          <w:p w14:paraId="532824B7">
            <w:pPr>
              <w:keepNext w:val="0"/>
              <w:keepLines w:val="0"/>
              <w:widowControl/>
              <w:suppressLineNumbers w:val="0"/>
              <w:jc w:val="both"/>
              <w:rPr>
                <w:rFonts w:hint="eastAsia" w:cs="Times New Roman"/>
                <w:i w:val="0"/>
                <w:iCs w:val="0"/>
                <w:color w:val="auto"/>
                <w:sz w:val="21"/>
                <w:szCs w:val="21"/>
                <w:highlight w:val="none"/>
                <w:u w:val="single"/>
                <w:lang w:val="en-US" w:eastAsia="zh-CN" w:bidi="ar"/>
              </w:rPr>
            </w:pPr>
            <w:r>
              <w:rPr>
                <w:rFonts w:hint="eastAsia" w:cs="Times New Roman"/>
                <w:i w:val="0"/>
                <w:iCs w:val="0"/>
                <w:color w:val="auto"/>
                <w:sz w:val="21"/>
                <w:szCs w:val="21"/>
                <w:highlight w:val="none"/>
                <w:u w:val="single"/>
                <w:lang w:val="en-US" w:eastAsia="zh-CN" w:bidi="ar"/>
              </w:rPr>
              <w:t xml:space="preserve">        </w:t>
            </w:r>
          </w:p>
          <w:p w14:paraId="48995D81">
            <w:pPr>
              <w:keepNext w:val="0"/>
              <w:keepLines w:val="0"/>
              <w:widowControl/>
              <w:suppressLineNumbers w:val="0"/>
              <w:jc w:val="both"/>
              <w:rPr>
                <w:rFonts w:hint="eastAsia" w:ascii="宋体" w:hAnsi="宋体" w:cs="宋体"/>
                <w:b/>
                <w:bCs/>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元</w:t>
            </w:r>
            <w:r>
              <w:rPr>
                <w:rFonts w:hint="default" w:ascii="Times New Roman" w:hAnsi="Times New Roman" w:eastAsia="宋体" w:cs="Times New Roman"/>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批次</w:t>
            </w:r>
          </w:p>
        </w:tc>
        <w:tc>
          <w:tcPr>
            <w:tcW w:w="554" w:type="pct"/>
            <w:tcBorders>
              <w:top w:val="single" w:color="000000" w:sz="4" w:space="0"/>
              <w:left w:val="single" w:color="000000" w:sz="4" w:space="0"/>
              <w:bottom w:val="single" w:color="000000" w:sz="4" w:space="0"/>
              <w:right w:val="single" w:color="000000" w:sz="4" w:space="0"/>
            </w:tcBorders>
            <w:noWrap w:val="0"/>
            <w:vAlign w:val="center"/>
          </w:tcPr>
          <w:p w14:paraId="159AC10A">
            <w:pPr>
              <w:keepNext w:val="0"/>
              <w:keepLines w:val="0"/>
              <w:widowControl/>
              <w:suppressLineNumbers w:val="0"/>
              <w:jc w:val="center"/>
              <w:rPr>
                <w:rFonts w:hint="eastAsia" w:ascii="宋体" w:hAnsi="宋体" w:eastAsia="宋体" w:cs="宋体"/>
                <w:b/>
                <w:bCs/>
                <w:i w:val="0"/>
                <w:iCs w:val="0"/>
                <w:color w:val="auto"/>
                <w:sz w:val="21"/>
                <w:szCs w:val="21"/>
                <w:highlight w:val="none"/>
                <w:u w:val="none"/>
                <w:lang w:val="en-US" w:eastAsia="zh-CN" w:bidi="ar"/>
              </w:rPr>
            </w:pPr>
            <w:r>
              <w:rPr>
                <w:rFonts w:hint="eastAsia" w:cs="Times New Roman"/>
                <w:i w:val="0"/>
                <w:iCs w:val="0"/>
                <w:color w:val="auto"/>
                <w:sz w:val="21"/>
                <w:szCs w:val="21"/>
                <w:highlight w:val="none"/>
                <w:u w:val="none"/>
                <w:lang w:val="en-US" w:eastAsia="zh-CN" w:bidi="ar"/>
              </w:rPr>
              <w:t>110*360</w:t>
            </w:r>
            <w:r>
              <w:rPr>
                <w:rFonts w:hint="eastAsia" w:ascii="宋体" w:hAnsi="宋体" w:eastAsia="宋体" w:cs="宋体"/>
                <w:i w:val="0"/>
                <w:iCs w:val="0"/>
                <w:color w:val="auto"/>
                <w:sz w:val="21"/>
                <w:szCs w:val="21"/>
                <w:highlight w:val="none"/>
                <w:u w:val="none"/>
                <w:lang w:val="en-US" w:eastAsia="zh-CN" w:bidi="ar"/>
              </w:rPr>
              <w:t>批次</w:t>
            </w:r>
          </w:p>
        </w:tc>
        <w:tc>
          <w:tcPr>
            <w:tcW w:w="646" w:type="pct"/>
            <w:tcBorders>
              <w:top w:val="single" w:color="000000" w:sz="4" w:space="0"/>
              <w:left w:val="single" w:color="000000" w:sz="4" w:space="0"/>
              <w:bottom w:val="single" w:color="000000" w:sz="4" w:space="0"/>
              <w:right w:val="single" w:color="000000" w:sz="4" w:space="0"/>
            </w:tcBorders>
            <w:noWrap/>
            <w:vAlign w:val="center"/>
          </w:tcPr>
          <w:p w14:paraId="45484DDD">
            <w:pPr>
              <w:keepNext w:val="0"/>
              <w:keepLines w:val="0"/>
              <w:widowControl/>
              <w:suppressLineNumbers w:val="0"/>
              <w:jc w:val="center"/>
              <w:rPr>
                <w:rFonts w:hint="eastAsia" w:ascii="宋体" w:hAnsi="宋体" w:eastAsia="宋体" w:cs="宋体"/>
                <w:b/>
                <w:bCs/>
                <w:i w:val="0"/>
                <w:iCs w:val="0"/>
                <w:color w:val="auto"/>
                <w:sz w:val="21"/>
                <w:szCs w:val="21"/>
                <w:highlight w:val="none"/>
                <w:u w:val="none"/>
                <w:lang w:val="en-US" w:eastAsia="zh-CN" w:bidi="ar"/>
              </w:rPr>
            </w:pPr>
            <w:r>
              <w:rPr>
                <w:rFonts w:hint="eastAsia" w:cs="Times New Roman"/>
                <w:i w:val="0"/>
                <w:iCs w:val="0"/>
                <w:color w:val="auto"/>
                <w:sz w:val="21"/>
                <w:szCs w:val="21"/>
                <w:highlight w:val="none"/>
                <w:u w:val="none"/>
                <w:lang w:val="en-US" w:eastAsia="zh-CN" w:bidi="ar"/>
              </w:rPr>
              <w:t>832000</w:t>
            </w:r>
          </w:p>
        </w:tc>
        <w:tc>
          <w:tcPr>
            <w:tcW w:w="563" w:type="pct"/>
            <w:tcBorders>
              <w:top w:val="single" w:color="000000" w:sz="4" w:space="0"/>
              <w:left w:val="single" w:color="000000" w:sz="4" w:space="0"/>
              <w:bottom w:val="single" w:color="000000" w:sz="4" w:space="0"/>
              <w:right w:val="single" w:color="000000" w:sz="4" w:space="0"/>
            </w:tcBorders>
            <w:noWrap w:val="0"/>
            <w:vAlign w:val="center"/>
          </w:tcPr>
          <w:p w14:paraId="1F46ACB3">
            <w:pPr>
              <w:keepNext w:val="0"/>
              <w:keepLines w:val="0"/>
              <w:widowControl/>
              <w:suppressLineNumbers w:val="0"/>
              <w:jc w:val="center"/>
              <w:rPr>
                <w:rFonts w:hint="eastAsia" w:ascii="宋体" w:hAnsi="宋体" w:cs="宋体"/>
                <w:b/>
                <w:bCs/>
                <w:i w:val="0"/>
                <w:iCs w:val="0"/>
                <w:color w:val="auto"/>
                <w:sz w:val="21"/>
                <w:szCs w:val="21"/>
                <w:highlight w:val="none"/>
                <w:u w:val="none"/>
                <w:lang w:val="en-US" w:eastAsia="zh-CN" w:bidi="ar"/>
              </w:rPr>
            </w:pPr>
          </w:p>
        </w:tc>
        <w:tc>
          <w:tcPr>
            <w:tcW w:w="521" w:type="pct"/>
            <w:tcBorders>
              <w:top w:val="single" w:color="000000" w:sz="4" w:space="0"/>
              <w:left w:val="single" w:color="000000" w:sz="4" w:space="0"/>
              <w:bottom w:val="single" w:color="000000" w:sz="4" w:space="0"/>
              <w:right w:val="single" w:color="000000" w:sz="4" w:space="0"/>
            </w:tcBorders>
            <w:noWrap w:val="0"/>
            <w:vAlign w:val="center"/>
          </w:tcPr>
          <w:p w14:paraId="08551ECA">
            <w:pPr>
              <w:keepNext w:val="0"/>
              <w:keepLines w:val="0"/>
              <w:widowControl/>
              <w:suppressLineNumbers w:val="0"/>
              <w:jc w:val="center"/>
              <w:rPr>
                <w:rFonts w:hint="eastAsia" w:ascii="宋体" w:hAnsi="宋体" w:cs="宋体"/>
                <w:b/>
                <w:bCs/>
                <w:i w:val="0"/>
                <w:iCs w:val="0"/>
                <w:color w:val="auto"/>
                <w:sz w:val="21"/>
                <w:szCs w:val="21"/>
                <w:highlight w:val="none"/>
                <w:u w:val="none"/>
                <w:lang w:val="en-US" w:eastAsia="zh-CN" w:bidi="ar"/>
              </w:rPr>
            </w:pPr>
            <w:r>
              <w:rPr>
                <w:rFonts w:hint="eastAsia" w:ascii="宋体" w:hAnsi="宋体" w:cs="宋体"/>
                <w:b/>
                <w:bCs/>
                <w:i w:val="0"/>
                <w:iCs w:val="0"/>
                <w:color w:val="auto"/>
                <w:sz w:val="21"/>
                <w:szCs w:val="21"/>
                <w:highlight w:val="none"/>
                <w:u w:val="none"/>
                <w:lang w:val="en-US" w:eastAsia="zh-CN" w:bidi="ar"/>
              </w:rPr>
              <w:t>采购包</w:t>
            </w:r>
            <w:r>
              <w:rPr>
                <w:rFonts w:hint="eastAsia" w:ascii="宋体" w:hAnsi="宋体" w:cs="宋体"/>
                <w:i w:val="0"/>
                <w:iCs w:val="0"/>
                <w:color w:val="auto"/>
                <w:sz w:val="21"/>
                <w:szCs w:val="21"/>
                <w:highlight w:val="none"/>
                <w:u w:val="none"/>
                <w:lang w:val="en-US" w:eastAsia="zh-CN" w:bidi="ar"/>
              </w:rPr>
              <w:t>2</w:t>
            </w:r>
            <w:r>
              <w:rPr>
                <w:rFonts w:hint="eastAsia" w:cs="Times New Roman"/>
                <w:i w:val="0"/>
                <w:iCs w:val="0"/>
                <w:color w:val="auto"/>
                <w:sz w:val="21"/>
                <w:szCs w:val="21"/>
                <w:highlight w:val="none"/>
                <w:u w:val="none"/>
                <w:lang w:val="en-US" w:eastAsia="zh-CN" w:bidi="ar"/>
              </w:rPr>
              <w:t>苏采云系统填写单价</w:t>
            </w:r>
          </w:p>
        </w:tc>
      </w:tr>
      <w:tr w14:paraId="2D1D5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blHeader/>
        </w:trPr>
        <w:tc>
          <w:tcPr>
            <w:tcW w:w="415" w:type="pct"/>
            <w:tcBorders>
              <w:top w:val="single" w:color="000000" w:sz="4" w:space="0"/>
              <w:left w:val="single" w:color="000000" w:sz="4" w:space="0"/>
              <w:bottom w:val="single" w:color="000000" w:sz="4" w:space="0"/>
              <w:right w:val="single" w:color="000000" w:sz="4" w:space="0"/>
            </w:tcBorders>
            <w:noWrap/>
            <w:vAlign w:val="center"/>
          </w:tcPr>
          <w:p w14:paraId="1B8A61A6">
            <w:pPr>
              <w:keepNext w:val="0"/>
              <w:keepLines w:val="0"/>
              <w:widowControl/>
              <w:suppressLineNumbers w:val="0"/>
              <w:jc w:val="center"/>
              <w:rPr>
                <w:rFonts w:hint="eastAsia" w:ascii="宋体" w:hAnsi="宋体" w:eastAsia="宋体" w:cs="宋体"/>
                <w:b/>
                <w:bCs/>
                <w:i w:val="0"/>
                <w:iCs w:val="0"/>
                <w:color w:val="auto"/>
                <w:sz w:val="21"/>
                <w:szCs w:val="21"/>
                <w:highlight w:val="none"/>
                <w:u w:val="none"/>
                <w:lang w:val="en-US" w:eastAsia="zh-CN" w:bidi="ar"/>
              </w:rPr>
            </w:pPr>
            <w:r>
              <w:rPr>
                <w:rFonts w:hint="eastAsia" w:ascii="宋体" w:hAnsi="宋体" w:cs="宋体"/>
                <w:b/>
                <w:bCs/>
                <w:i w:val="0"/>
                <w:iCs w:val="0"/>
                <w:color w:val="auto"/>
                <w:sz w:val="21"/>
                <w:szCs w:val="21"/>
                <w:highlight w:val="none"/>
                <w:u w:val="none"/>
                <w:lang w:val="en-US" w:eastAsia="zh-CN" w:bidi="ar"/>
              </w:rPr>
              <w:t>采购包</w:t>
            </w:r>
            <w:r>
              <w:rPr>
                <w:rFonts w:hint="eastAsia" w:ascii="宋体" w:hAnsi="宋体" w:cs="宋体"/>
                <w:i w:val="0"/>
                <w:iCs w:val="0"/>
                <w:color w:val="auto"/>
                <w:sz w:val="21"/>
                <w:szCs w:val="21"/>
                <w:highlight w:val="none"/>
                <w:u w:val="none"/>
                <w:lang w:val="en-US" w:eastAsia="zh-CN" w:bidi="ar"/>
              </w:rPr>
              <w:t>3</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6985212F">
            <w:pPr>
              <w:keepNext w:val="0"/>
              <w:keepLines w:val="0"/>
              <w:widowControl/>
              <w:suppressLineNumbers w:val="0"/>
              <w:jc w:val="left"/>
              <w:rPr>
                <w:rFonts w:hint="eastAsia" w:eastAsia="宋体" w:cs="Times New Roman"/>
                <w:b/>
                <w:bCs/>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bidi="ar"/>
              </w:rPr>
              <w:t>桥林农贸市场、汤泉农贸市场、星甸农贸市场、石桥农贸市场、刘姐菜篮子永宁店</w:t>
            </w:r>
          </w:p>
        </w:tc>
        <w:tc>
          <w:tcPr>
            <w:tcW w:w="346" w:type="pct"/>
            <w:tcBorders>
              <w:top w:val="single" w:color="000000" w:sz="4" w:space="0"/>
              <w:left w:val="single" w:color="000000" w:sz="4" w:space="0"/>
              <w:bottom w:val="single" w:color="000000" w:sz="4" w:space="0"/>
              <w:right w:val="single" w:color="000000" w:sz="4" w:space="0"/>
            </w:tcBorders>
            <w:noWrap/>
            <w:vAlign w:val="center"/>
          </w:tcPr>
          <w:p w14:paraId="07382493">
            <w:pPr>
              <w:keepNext w:val="0"/>
              <w:keepLines w:val="0"/>
              <w:widowControl/>
              <w:suppressLineNumbers w:val="0"/>
              <w:jc w:val="center"/>
              <w:rPr>
                <w:rFonts w:hint="eastAsia" w:ascii="宋体" w:hAnsi="宋体" w:eastAsia="宋体" w:cs="宋体"/>
                <w:b/>
                <w:bCs/>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日常检测</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0D20F757">
            <w:pPr>
              <w:keepNext w:val="0"/>
              <w:keepLines w:val="0"/>
              <w:widowControl/>
              <w:suppressLineNumbers w:val="0"/>
              <w:jc w:val="center"/>
              <w:rPr>
                <w:rFonts w:hint="eastAsia" w:ascii="宋体" w:hAnsi="宋体" w:eastAsia="宋体" w:cs="宋体"/>
                <w:b/>
                <w:bCs/>
                <w:i w:val="0"/>
                <w:iCs w:val="0"/>
                <w:color w:val="auto"/>
                <w:sz w:val="21"/>
                <w:szCs w:val="21"/>
                <w:highlight w:val="none"/>
                <w:u w:val="none"/>
                <w:lang w:val="en-US" w:eastAsia="zh-CN" w:bidi="ar"/>
              </w:rPr>
            </w:pPr>
            <w:r>
              <w:rPr>
                <w:rFonts w:hint="eastAsia" w:cs="Times New Roman"/>
                <w:i w:val="0"/>
                <w:iCs w:val="0"/>
                <w:color w:val="auto"/>
                <w:sz w:val="21"/>
                <w:szCs w:val="21"/>
                <w:highlight w:val="none"/>
                <w:u w:val="none"/>
                <w:lang w:val="en-US" w:eastAsia="zh-CN" w:bidi="ar"/>
              </w:rPr>
              <w:t>21</w:t>
            </w:r>
            <w:r>
              <w:rPr>
                <w:rFonts w:hint="eastAsia" w:ascii="宋体" w:hAnsi="宋体" w:eastAsia="宋体" w:cs="宋体"/>
                <w:i w:val="0"/>
                <w:iCs w:val="0"/>
                <w:color w:val="auto"/>
                <w:sz w:val="21"/>
                <w:szCs w:val="21"/>
                <w:highlight w:val="none"/>
                <w:u w:val="none"/>
                <w:lang w:val="en-US" w:eastAsia="zh-CN" w:bidi="ar"/>
              </w:rPr>
              <w:t>元</w:t>
            </w:r>
            <w:r>
              <w:rPr>
                <w:rFonts w:hint="default" w:ascii="Times New Roman" w:hAnsi="Times New Roman" w:eastAsia="宋体" w:cs="Times New Roman"/>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批</w:t>
            </w:r>
          </w:p>
        </w:tc>
        <w:tc>
          <w:tcPr>
            <w:tcW w:w="1205" w:type="dxa"/>
            <w:tcBorders>
              <w:top w:val="single" w:color="000000" w:sz="4" w:space="0"/>
              <w:left w:val="single" w:color="000000" w:sz="4" w:space="0"/>
              <w:bottom w:val="single" w:color="000000" w:sz="4" w:space="0"/>
              <w:right w:val="single" w:color="000000" w:sz="4" w:space="0"/>
            </w:tcBorders>
            <w:noWrap w:val="0"/>
            <w:vAlign w:val="center"/>
          </w:tcPr>
          <w:p w14:paraId="4BEFF95F">
            <w:pPr>
              <w:keepNext w:val="0"/>
              <w:keepLines w:val="0"/>
              <w:widowControl/>
              <w:suppressLineNumbers w:val="0"/>
              <w:jc w:val="both"/>
              <w:rPr>
                <w:rFonts w:hint="eastAsia" w:cs="Times New Roman"/>
                <w:i w:val="0"/>
                <w:iCs w:val="0"/>
                <w:color w:val="auto"/>
                <w:sz w:val="21"/>
                <w:szCs w:val="21"/>
                <w:highlight w:val="none"/>
                <w:u w:val="single"/>
                <w:lang w:val="en-US" w:eastAsia="zh-CN" w:bidi="ar"/>
              </w:rPr>
            </w:pPr>
            <w:r>
              <w:rPr>
                <w:rFonts w:hint="eastAsia" w:cs="Times New Roman"/>
                <w:i w:val="0"/>
                <w:iCs w:val="0"/>
                <w:color w:val="auto"/>
                <w:sz w:val="21"/>
                <w:szCs w:val="21"/>
                <w:highlight w:val="none"/>
                <w:u w:val="single"/>
                <w:lang w:val="en-US" w:eastAsia="zh-CN" w:bidi="ar"/>
              </w:rPr>
              <w:t xml:space="preserve">        </w:t>
            </w:r>
          </w:p>
          <w:p w14:paraId="3021D92D">
            <w:pPr>
              <w:keepNext w:val="0"/>
              <w:keepLines w:val="0"/>
              <w:widowControl/>
              <w:suppressLineNumbers w:val="0"/>
              <w:jc w:val="both"/>
              <w:rPr>
                <w:rFonts w:hint="eastAsia" w:ascii="宋体" w:hAnsi="宋体" w:cs="宋体"/>
                <w:b/>
                <w:bCs/>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元</w:t>
            </w:r>
            <w:r>
              <w:rPr>
                <w:rFonts w:hint="default" w:ascii="Times New Roman" w:hAnsi="Times New Roman" w:eastAsia="宋体" w:cs="Times New Roman"/>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批次</w:t>
            </w:r>
          </w:p>
        </w:tc>
        <w:tc>
          <w:tcPr>
            <w:tcW w:w="554" w:type="pct"/>
            <w:tcBorders>
              <w:top w:val="single" w:color="000000" w:sz="4" w:space="0"/>
              <w:left w:val="single" w:color="000000" w:sz="4" w:space="0"/>
              <w:bottom w:val="single" w:color="000000" w:sz="4" w:space="0"/>
              <w:right w:val="single" w:color="000000" w:sz="4" w:space="0"/>
            </w:tcBorders>
            <w:noWrap w:val="0"/>
            <w:vAlign w:val="center"/>
          </w:tcPr>
          <w:p w14:paraId="15F7F246">
            <w:pPr>
              <w:keepNext w:val="0"/>
              <w:keepLines w:val="0"/>
              <w:widowControl/>
              <w:suppressLineNumbers w:val="0"/>
              <w:jc w:val="center"/>
              <w:rPr>
                <w:rFonts w:hint="eastAsia" w:ascii="宋体" w:hAnsi="宋体" w:eastAsia="宋体" w:cs="宋体"/>
                <w:b/>
                <w:bCs/>
                <w:i w:val="0"/>
                <w:iCs w:val="0"/>
                <w:color w:val="auto"/>
                <w:sz w:val="21"/>
                <w:szCs w:val="21"/>
                <w:highlight w:val="none"/>
                <w:u w:val="none"/>
                <w:lang w:val="en-US" w:eastAsia="zh-CN" w:bidi="ar"/>
              </w:rPr>
            </w:pPr>
            <w:r>
              <w:rPr>
                <w:rFonts w:hint="eastAsia" w:cs="Times New Roman"/>
                <w:i w:val="0"/>
                <w:iCs w:val="0"/>
                <w:color w:val="auto"/>
                <w:sz w:val="21"/>
                <w:szCs w:val="21"/>
                <w:highlight w:val="none"/>
                <w:u w:val="none"/>
                <w:lang w:val="en-US" w:eastAsia="zh-CN" w:bidi="ar"/>
              </w:rPr>
              <w:t>108*360</w:t>
            </w:r>
            <w:r>
              <w:rPr>
                <w:rFonts w:hint="eastAsia" w:ascii="宋体" w:hAnsi="宋体" w:eastAsia="宋体" w:cs="宋体"/>
                <w:i w:val="0"/>
                <w:iCs w:val="0"/>
                <w:color w:val="auto"/>
                <w:sz w:val="21"/>
                <w:szCs w:val="21"/>
                <w:highlight w:val="none"/>
                <w:u w:val="none"/>
                <w:lang w:val="en-US" w:eastAsia="zh-CN" w:bidi="ar"/>
              </w:rPr>
              <w:t>批次</w:t>
            </w:r>
          </w:p>
        </w:tc>
        <w:tc>
          <w:tcPr>
            <w:tcW w:w="646" w:type="pct"/>
            <w:tcBorders>
              <w:top w:val="single" w:color="000000" w:sz="4" w:space="0"/>
              <w:left w:val="single" w:color="000000" w:sz="4" w:space="0"/>
              <w:bottom w:val="single" w:color="000000" w:sz="4" w:space="0"/>
              <w:right w:val="single" w:color="000000" w:sz="4" w:space="0"/>
            </w:tcBorders>
            <w:noWrap/>
            <w:vAlign w:val="center"/>
          </w:tcPr>
          <w:p w14:paraId="14978D49">
            <w:pPr>
              <w:keepNext w:val="0"/>
              <w:keepLines w:val="0"/>
              <w:widowControl/>
              <w:suppressLineNumbers w:val="0"/>
              <w:jc w:val="center"/>
              <w:rPr>
                <w:rFonts w:hint="eastAsia" w:ascii="宋体" w:hAnsi="宋体" w:eastAsia="宋体" w:cs="宋体"/>
                <w:b/>
                <w:bCs/>
                <w:i w:val="0"/>
                <w:iCs w:val="0"/>
                <w:color w:val="auto"/>
                <w:sz w:val="21"/>
                <w:szCs w:val="21"/>
                <w:highlight w:val="none"/>
                <w:u w:val="none"/>
                <w:lang w:val="en-US" w:eastAsia="zh-CN" w:bidi="ar"/>
              </w:rPr>
            </w:pPr>
            <w:r>
              <w:rPr>
                <w:rFonts w:hint="eastAsia" w:cs="Times New Roman"/>
                <w:i w:val="0"/>
                <w:iCs w:val="0"/>
                <w:color w:val="auto"/>
                <w:sz w:val="21"/>
                <w:szCs w:val="21"/>
                <w:highlight w:val="none"/>
                <w:u w:val="none"/>
                <w:lang w:val="en-US" w:eastAsia="zh-CN" w:bidi="ar"/>
              </w:rPr>
              <w:t>817000</w:t>
            </w:r>
          </w:p>
        </w:tc>
        <w:tc>
          <w:tcPr>
            <w:tcW w:w="563" w:type="pct"/>
            <w:tcBorders>
              <w:top w:val="single" w:color="000000" w:sz="4" w:space="0"/>
              <w:left w:val="single" w:color="000000" w:sz="4" w:space="0"/>
              <w:bottom w:val="single" w:color="000000" w:sz="4" w:space="0"/>
              <w:right w:val="single" w:color="000000" w:sz="4" w:space="0"/>
            </w:tcBorders>
            <w:noWrap w:val="0"/>
            <w:vAlign w:val="center"/>
          </w:tcPr>
          <w:p w14:paraId="5D634F9C">
            <w:pPr>
              <w:keepNext w:val="0"/>
              <w:keepLines w:val="0"/>
              <w:widowControl/>
              <w:suppressLineNumbers w:val="0"/>
              <w:jc w:val="center"/>
              <w:rPr>
                <w:rFonts w:hint="eastAsia" w:ascii="宋体" w:hAnsi="宋体" w:cs="宋体"/>
                <w:b/>
                <w:bCs/>
                <w:i w:val="0"/>
                <w:iCs w:val="0"/>
                <w:color w:val="auto"/>
                <w:sz w:val="21"/>
                <w:szCs w:val="21"/>
                <w:highlight w:val="none"/>
                <w:u w:val="none"/>
                <w:lang w:val="en-US" w:eastAsia="zh-CN" w:bidi="ar"/>
              </w:rPr>
            </w:pPr>
          </w:p>
        </w:tc>
        <w:tc>
          <w:tcPr>
            <w:tcW w:w="521" w:type="pct"/>
            <w:tcBorders>
              <w:top w:val="single" w:color="000000" w:sz="4" w:space="0"/>
              <w:left w:val="single" w:color="000000" w:sz="4" w:space="0"/>
              <w:bottom w:val="single" w:color="000000" w:sz="4" w:space="0"/>
              <w:right w:val="single" w:color="000000" w:sz="4" w:space="0"/>
            </w:tcBorders>
            <w:noWrap w:val="0"/>
            <w:vAlign w:val="center"/>
          </w:tcPr>
          <w:p w14:paraId="4527D58C">
            <w:pPr>
              <w:keepNext w:val="0"/>
              <w:keepLines w:val="0"/>
              <w:widowControl/>
              <w:suppressLineNumbers w:val="0"/>
              <w:jc w:val="center"/>
              <w:rPr>
                <w:rFonts w:hint="eastAsia" w:ascii="宋体" w:hAnsi="宋体" w:cs="宋体"/>
                <w:b/>
                <w:bCs/>
                <w:i w:val="0"/>
                <w:iCs w:val="0"/>
                <w:color w:val="auto"/>
                <w:sz w:val="21"/>
                <w:szCs w:val="21"/>
                <w:highlight w:val="none"/>
                <w:u w:val="none"/>
                <w:lang w:val="en-US" w:eastAsia="zh-CN" w:bidi="ar"/>
              </w:rPr>
            </w:pPr>
            <w:r>
              <w:rPr>
                <w:rFonts w:hint="eastAsia" w:ascii="宋体" w:hAnsi="宋体" w:cs="宋体"/>
                <w:b/>
                <w:bCs/>
                <w:i w:val="0"/>
                <w:iCs w:val="0"/>
                <w:color w:val="auto"/>
                <w:sz w:val="21"/>
                <w:szCs w:val="21"/>
                <w:highlight w:val="none"/>
                <w:u w:val="none"/>
                <w:lang w:val="en-US" w:eastAsia="zh-CN" w:bidi="ar"/>
              </w:rPr>
              <w:t>采购包</w:t>
            </w:r>
            <w:r>
              <w:rPr>
                <w:rFonts w:hint="eastAsia" w:ascii="宋体" w:hAnsi="宋体" w:cs="宋体"/>
                <w:i w:val="0"/>
                <w:iCs w:val="0"/>
                <w:color w:val="auto"/>
                <w:sz w:val="21"/>
                <w:szCs w:val="21"/>
                <w:highlight w:val="none"/>
                <w:u w:val="none"/>
                <w:lang w:val="en-US" w:eastAsia="zh-CN" w:bidi="ar"/>
              </w:rPr>
              <w:t>3</w:t>
            </w:r>
            <w:r>
              <w:rPr>
                <w:rFonts w:hint="eastAsia" w:cs="Times New Roman"/>
                <w:i w:val="0"/>
                <w:iCs w:val="0"/>
                <w:color w:val="auto"/>
                <w:sz w:val="21"/>
                <w:szCs w:val="21"/>
                <w:highlight w:val="none"/>
                <w:u w:val="none"/>
                <w:lang w:val="en-US" w:eastAsia="zh-CN" w:bidi="ar"/>
              </w:rPr>
              <w:t>苏采云系统填写单价</w:t>
            </w:r>
          </w:p>
        </w:tc>
      </w:tr>
    </w:tbl>
    <w:p w14:paraId="22AB7E53">
      <w:pPr>
        <w:widowControl/>
        <w:adjustRightInd w:val="0"/>
        <w:spacing w:line="240" w:lineRule="atLeast"/>
        <w:jc w:val="left"/>
        <w:rPr>
          <w:rFonts w:hint="eastAsia" w:ascii="宋体" w:hAnsi="宋体" w:cs="宋体"/>
          <w:b/>
          <w:bCs/>
          <w:kern w:val="0"/>
          <w:lang w:val="zh-CN"/>
        </w:rPr>
      </w:pPr>
    </w:p>
    <w:p w14:paraId="1557B70E">
      <w:pPr>
        <w:widowControl/>
        <w:shd w:val="clear" w:color="auto" w:fill="FFFFFF"/>
        <w:spacing w:line="360" w:lineRule="auto"/>
        <w:jc w:val="left"/>
        <w:rPr>
          <w:rFonts w:hint="eastAsia" w:ascii="宋体" w:hAnsi="宋体" w:cs="宋体"/>
          <w:kern w:val="0"/>
          <w:szCs w:val="21"/>
        </w:rPr>
      </w:pPr>
      <w:r>
        <w:rPr>
          <w:rFonts w:hint="eastAsia" w:ascii="宋体" w:hAnsi="宋体" w:cs="宋体"/>
          <w:kern w:val="0"/>
          <w:szCs w:val="21"/>
        </w:rPr>
        <w:t>投标单位（加盖电子公章）：</w:t>
      </w:r>
      <w:r>
        <w:rPr>
          <w:rFonts w:hint="eastAsia" w:ascii="宋体" w:hAnsi="宋体" w:cs="宋体"/>
          <w:kern w:val="0"/>
          <w:szCs w:val="21"/>
          <w:u w:val="single"/>
        </w:rPr>
        <w:t>                             </w:t>
      </w:r>
    </w:p>
    <w:p w14:paraId="7FC85E9A">
      <w:pPr>
        <w:widowControl/>
        <w:shd w:val="clear" w:color="auto" w:fill="FFFFFF"/>
        <w:spacing w:line="360" w:lineRule="auto"/>
        <w:jc w:val="left"/>
        <w:rPr>
          <w:rFonts w:hint="eastAsia" w:ascii="宋体" w:hAnsi="宋体" w:cs="宋体"/>
          <w:kern w:val="0"/>
          <w:szCs w:val="21"/>
        </w:rPr>
      </w:pPr>
    </w:p>
    <w:p w14:paraId="0EC4272C">
      <w:pPr>
        <w:widowControl/>
        <w:shd w:val="clear" w:color="auto" w:fill="FFFFFF"/>
        <w:spacing w:line="360" w:lineRule="auto"/>
        <w:jc w:val="left"/>
        <w:rPr>
          <w:rFonts w:hint="eastAsia" w:ascii="宋体" w:hAnsi="宋体" w:cs="宋体"/>
          <w:kern w:val="0"/>
          <w:szCs w:val="21"/>
        </w:rPr>
      </w:pPr>
    </w:p>
    <w:p w14:paraId="1F1320B8">
      <w:pPr>
        <w:widowControl/>
        <w:shd w:val="clear" w:color="auto" w:fill="FFFFFF"/>
        <w:spacing w:line="360" w:lineRule="auto"/>
        <w:jc w:val="left"/>
        <w:rPr>
          <w:rFonts w:hint="eastAsia" w:ascii="宋体" w:hAnsi="宋体" w:cs="宋体"/>
          <w:kern w:val="0"/>
          <w:szCs w:val="21"/>
        </w:rPr>
      </w:pPr>
    </w:p>
    <w:p w14:paraId="45E9151D">
      <w:pPr>
        <w:widowControl/>
        <w:shd w:val="clear" w:color="auto" w:fill="FFFFFF"/>
        <w:spacing w:line="360" w:lineRule="auto"/>
        <w:jc w:val="left"/>
        <w:rPr>
          <w:rFonts w:hint="eastAsia" w:ascii="宋体" w:hAnsi="宋体" w:cs="宋体"/>
          <w:kern w:val="0"/>
          <w:szCs w:val="21"/>
        </w:rPr>
      </w:pPr>
    </w:p>
    <w:p w14:paraId="348A9116">
      <w:pPr>
        <w:widowControl/>
        <w:jc w:val="left"/>
        <w:rPr>
          <w:rFonts w:hint="eastAsia" w:ascii="宋体" w:hAnsi="宋体" w:cs="宋体"/>
          <w:kern w:val="0"/>
          <w:szCs w:val="21"/>
        </w:rPr>
      </w:pPr>
      <w:r>
        <w:rPr>
          <w:rFonts w:hint="eastAsia" w:ascii="宋体" w:hAnsi="宋体" w:cs="宋体"/>
          <w:kern w:val="0"/>
          <w:szCs w:val="21"/>
        </w:rPr>
        <w:br w:type="page"/>
      </w:r>
    </w:p>
    <w:p w14:paraId="27F79EBF">
      <w:pPr>
        <w:widowControl/>
        <w:shd w:val="clear" w:color="auto" w:fill="FFFFFF"/>
        <w:spacing w:line="360" w:lineRule="auto"/>
        <w:jc w:val="left"/>
        <w:rPr>
          <w:rFonts w:hint="eastAsia" w:ascii="宋体" w:hAnsi="宋体" w:cs="宋体"/>
          <w:kern w:val="0"/>
          <w:szCs w:val="21"/>
        </w:rPr>
      </w:pPr>
      <w:r>
        <w:rPr>
          <w:rFonts w:hint="eastAsia" w:ascii="宋体" w:hAnsi="宋体" w:cs="宋体"/>
          <w:b/>
          <w:bCs/>
          <w:kern w:val="0"/>
          <w:szCs w:val="21"/>
        </w:rPr>
        <w:t>附件五、采购需求偏离表格式</w:t>
      </w:r>
    </w:p>
    <w:p w14:paraId="66AE9555">
      <w:pPr>
        <w:widowControl/>
        <w:shd w:val="clear" w:color="auto" w:fill="FFFFFF"/>
        <w:spacing w:line="360" w:lineRule="auto"/>
        <w:ind w:left="435"/>
        <w:jc w:val="left"/>
        <w:rPr>
          <w:rFonts w:hint="eastAsia" w:ascii="宋体" w:hAnsi="宋体" w:cs="宋体"/>
          <w:kern w:val="0"/>
          <w:szCs w:val="21"/>
        </w:rPr>
      </w:pPr>
    </w:p>
    <w:p w14:paraId="029A3B00">
      <w:pPr>
        <w:widowControl/>
        <w:shd w:val="clear" w:color="auto" w:fill="FFFFFF"/>
        <w:spacing w:line="360" w:lineRule="auto"/>
        <w:ind w:left="420"/>
        <w:jc w:val="center"/>
        <w:rPr>
          <w:rFonts w:hint="eastAsia" w:ascii="宋体" w:hAnsi="宋体" w:cs="宋体"/>
          <w:b/>
          <w:kern w:val="0"/>
          <w:szCs w:val="21"/>
        </w:rPr>
      </w:pPr>
      <w:r>
        <w:rPr>
          <w:rFonts w:hint="eastAsia" w:ascii="宋体" w:hAnsi="宋体" w:cs="宋体"/>
          <w:b/>
          <w:kern w:val="0"/>
          <w:sz w:val="36"/>
          <w:szCs w:val="36"/>
        </w:rPr>
        <w:t>采购需求偏离表</w:t>
      </w:r>
    </w:p>
    <w:p w14:paraId="43A218F6">
      <w:pPr>
        <w:widowControl/>
        <w:shd w:val="clear" w:color="auto" w:fill="FFFFFF"/>
        <w:spacing w:line="360" w:lineRule="auto"/>
        <w:jc w:val="left"/>
        <w:rPr>
          <w:rFonts w:hint="eastAsia" w:ascii="宋体" w:hAnsi="宋体" w:cs="宋体"/>
          <w:kern w:val="0"/>
          <w:szCs w:val="21"/>
        </w:rPr>
      </w:pPr>
      <w:r>
        <w:rPr>
          <w:rFonts w:hint="eastAsia" w:ascii="宋体" w:hAnsi="宋体" w:cs="宋体"/>
          <w:kern w:val="0"/>
          <w:szCs w:val="21"/>
        </w:rPr>
        <w:t>                       </w:t>
      </w:r>
    </w:p>
    <w:p w14:paraId="35279C22">
      <w:pPr>
        <w:widowControl/>
        <w:tabs>
          <w:tab w:val="left" w:pos="5397"/>
        </w:tabs>
        <w:spacing w:line="360" w:lineRule="auto"/>
        <w:ind w:firstLine="84" w:firstLineChars="40"/>
        <w:jc w:val="left"/>
        <w:rPr>
          <w:rFonts w:hint="eastAsia" w:ascii="宋体" w:hAnsi="宋体" w:cs="宋体"/>
          <w:kern w:val="0"/>
          <w:szCs w:val="21"/>
        </w:rPr>
      </w:pPr>
      <w:r>
        <w:rPr>
          <w:rFonts w:hint="eastAsia" w:ascii="宋体" w:hAnsi="宋体" w:cs="宋体"/>
          <w:kern w:val="0"/>
          <w:szCs w:val="21"/>
        </w:rPr>
        <w:t>项目名称：</w:t>
      </w:r>
      <w:r>
        <w:rPr>
          <w:rFonts w:hint="eastAsia" w:ascii="宋体" w:hAnsi="宋体" w:cs="宋体"/>
          <w:kern w:val="0"/>
          <w:szCs w:val="21"/>
        </w:rPr>
        <w:tab/>
      </w:r>
      <w:r>
        <w:rPr>
          <w:rFonts w:hint="eastAsia" w:ascii="宋体" w:hAnsi="宋体" w:cs="宋体"/>
          <w:kern w:val="0"/>
          <w:szCs w:val="21"/>
        </w:rPr>
        <w:t>项目编号：  </w:t>
      </w:r>
    </w:p>
    <w:tbl>
      <w:tblPr>
        <w:tblStyle w:val="4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1"/>
        <w:gridCol w:w="1785"/>
        <w:gridCol w:w="2053"/>
        <w:gridCol w:w="3204"/>
        <w:gridCol w:w="1325"/>
      </w:tblGrid>
      <w:tr w14:paraId="614F6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376" w:type="pct"/>
            <w:tcMar>
              <w:top w:w="0" w:type="dxa"/>
              <w:left w:w="10" w:type="dxa"/>
              <w:bottom w:w="0" w:type="dxa"/>
              <w:right w:w="10" w:type="dxa"/>
            </w:tcMar>
            <w:vAlign w:val="center"/>
          </w:tcPr>
          <w:p w14:paraId="0D6CB1D4">
            <w:pPr>
              <w:widowControl/>
              <w:spacing w:line="360" w:lineRule="auto"/>
              <w:jc w:val="center"/>
              <w:rPr>
                <w:rFonts w:hint="eastAsia" w:ascii="宋体" w:hAnsi="宋体" w:cs="宋体"/>
                <w:b/>
                <w:kern w:val="0"/>
                <w:szCs w:val="21"/>
              </w:rPr>
            </w:pPr>
            <w:r>
              <w:rPr>
                <w:rFonts w:hint="eastAsia" w:ascii="宋体" w:hAnsi="宋体" w:cs="宋体"/>
                <w:b/>
                <w:kern w:val="0"/>
                <w:szCs w:val="21"/>
              </w:rPr>
              <w:t>序号</w:t>
            </w:r>
          </w:p>
        </w:tc>
        <w:tc>
          <w:tcPr>
            <w:tcW w:w="986" w:type="pct"/>
            <w:tcMar>
              <w:top w:w="0" w:type="dxa"/>
              <w:left w:w="10" w:type="dxa"/>
              <w:bottom w:w="0" w:type="dxa"/>
              <w:right w:w="10" w:type="dxa"/>
            </w:tcMar>
            <w:vAlign w:val="center"/>
          </w:tcPr>
          <w:p w14:paraId="3F2539D6">
            <w:pPr>
              <w:widowControl/>
              <w:spacing w:line="360" w:lineRule="auto"/>
              <w:jc w:val="center"/>
              <w:rPr>
                <w:rFonts w:hint="eastAsia" w:ascii="宋体" w:hAnsi="宋体" w:cs="宋体"/>
                <w:b/>
                <w:kern w:val="0"/>
                <w:szCs w:val="21"/>
              </w:rPr>
            </w:pPr>
            <w:r>
              <w:rPr>
                <w:rFonts w:hint="eastAsia" w:ascii="宋体" w:hAnsi="宋体" w:cs="宋体"/>
                <w:b/>
                <w:kern w:val="0"/>
                <w:szCs w:val="21"/>
              </w:rPr>
              <w:t>招标文件条目号</w:t>
            </w:r>
          </w:p>
        </w:tc>
        <w:tc>
          <w:tcPr>
            <w:tcW w:w="1134" w:type="pct"/>
            <w:tcMar>
              <w:top w:w="0" w:type="dxa"/>
              <w:left w:w="10" w:type="dxa"/>
              <w:bottom w:w="0" w:type="dxa"/>
              <w:right w:w="10" w:type="dxa"/>
            </w:tcMar>
            <w:vAlign w:val="center"/>
          </w:tcPr>
          <w:p w14:paraId="4D4F5922">
            <w:pPr>
              <w:widowControl/>
              <w:spacing w:line="360" w:lineRule="auto"/>
              <w:jc w:val="center"/>
              <w:rPr>
                <w:rFonts w:hint="eastAsia" w:ascii="宋体" w:hAnsi="宋体" w:cs="宋体"/>
                <w:b/>
                <w:kern w:val="0"/>
                <w:szCs w:val="21"/>
              </w:rPr>
            </w:pPr>
            <w:r>
              <w:rPr>
                <w:rFonts w:hint="eastAsia" w:ascii="宋体" w:hAnsi="宋体" w:cs="宋体"/>
                <w:b/>
                <w:kern w:val="0"/>
                <w:szCs w:val="21"/>
              </w:rPr>
              <w:t>招标要求规格</w:t>
            </w:r>
          </w:p>
        </w:tc>
        <w:tc>
          <w:tcPr>
            <w:tcW w:w="1770" w:type="pct"/>
            <w:tcMar>
              <w:top w:w="0" w:type="dxa"/>
              <w:left w:w="10" w:type="dxa"/>
              <w:bottom w:w="0" w:type="dxa"/>
              <w:right w:w="10" w:type="dxa"/>
            </w:tcMar>
            <w:vAlign w:val="center"/>
          </w:tcPr>
          <w:p w14:paraId="44580282">
            <w:pPr>
              <w:widowControl/>
              <w:spacing w:line="360" w:lineRule="auto"/>
              <w:jc w:val="center"/>
              <w:rPr>
                <w:rFonts w:hint="eastAsia" w:ascii="宋体" w:hAnsi="宋体" w:cs="宋体"/>
                <w:b/>
                <w:kern w:val="0"/>
                <w:szCs w:val="21"/>
              </w:rPr>
            </w:pPr>
            <w:r>
              <w:rPr>
                <w:rFonts w:hint="eastAsia" w:ascii="宋体" w:hAnsi="宋体" w:cs="宋体"/>
                <w:b/>
                <w:kern w:val="0"/>
                <w:szCs w:val="21"/>
              </w:rPr>
              <w:t>投标响应</w:t>
            </w:r>
          </w:p>
        </w:tc>
        <w:tc>
          <w:tcPr>
            <w:tcW w:w="732" w:type="pct"/>
            <w:tcMar>
              <w:top w:w="0" w:type="dxa"/>
              <w:left w:w="10" w:type="dxa"/>
              <w:bottom w:w="0" w:type="dxa"/>
              <w:right w:w="10" w:type="dxa"/>
            </w:tcMar>
            <w:vAlign w:val="center"/>
          </w:tcPr>
          <w:p w14:paraId="55E0B3C1">
            <w:pPr>
              <w:widowControl/>
              <w:spacing w:line="360" w:lineRule="auto"/>
              <w:jc w:val="center"/>
              <w:rPr>
                <w:rFonts w:hint="eastAsia" w:ascii="宋体" w:hAnsi="宋体" w:cs="宋体"/>
                <w:b/>
                <w:kern w:val="0"/>
                <w:szCs w:val="21"/>
              </w:rPr>
            </w:pPr>
            <w:r>
              <w:rPr>
                <w:rFonts w:hint="eastAsia" w:ascii="宋体" w:hAnsi="宋体" w:cs="宋体"/>
                <w:b/>
                <w:kern w:val="0"/>
                <w:szCs w:val="21"/>
              </w:rPr>
              <w:t>偏离</w:t>
            </w:r>
          </w:p>
        </w:tc>
      </w:tr>
      <w:tr w14:paraId="71A09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376" w:type="pct"/>
            <w:tcMar>
              <w:top w:w="0" w:type="dxa"/>
              <w:left w:w="10" w:type="dxa"/>
              <w:bottom w:w="0" w:type="dxa"/>
              <w:right w:w="10" w:type="dxa"/>
            </w:tcMar>
            <w:vAlign w:val="center"/>
          </w:tcPr>
          <w:p w14:paraId="0887F506">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986" w:type="pct"/>
            <w:tcMar>
              <w:top w:w="0" w:type="dxa"/>
              <w:left w:w="10" w:type="dxa"/>
              <w:bottom w:w="0" w:type="dxa"/>
              <w:right w:w="10" w:type="dxa"/>
            </w:tcMar>
            <w:vAlign w:val="center"/>
          </w:tcPr>
          <w:p w14:paraId="76B33DB4">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1134" w:type="pct"/>
            <w:tcMar>
              <w:top w:w="0" w:type="dxa"/>
              <w:left w:w="10" w:type="dxa"/>
              <w:bottom w:w="0" w:type="dxa"/>
              <w:right w:w="10" w:type="dxa"/>
            </w:tcMar>
            <w:vAlign w:val="center"/>
          </w:tcPr>
          <w:p w14:paraId="099401DC">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1770" w:type="pct"/>
            <w:tcMar>
              <w:top w:w="0" w:type="dxa"/>
              <w:left w:w="10" w:type="dxa"/>
              <w:bottom w:w="0" w:type="dxa"/>
              <w:right w:w="10" w:type="dxa"/>
            </w:tcMar>
            <w:vAlign w:val="center"/>
          </w:tcPr>
          <w:p w14:paraId="0A783BFA">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732" w:type="pct"/>
            <w:tcMar>
              <w:top w:w="0" w:type="dxa"/>
              <w:left w:w="10" w:type="dxa"/>
              <w:bottom w:w="0" w:type="dxa"/>
              <w:right w:w="10" w:type="dxa"/>
            </w:tcMar>
            <w:vAlign w:val="center"/>
          </w:tcPr>
          <w:p w14:paraId="640EFF74">
            <w:pPr>
              <w:widowControl/>
              <w:spacing w:line="360" w:lineRule="auto"/>
              <w:jc w:val="center"/>
              <w:rPr>
                <w:rFonts w:hint="eastAsia" w:ascii="宋体" w:hAnsi="宋体" w:cs="宋体"/>
                <w:kern w:val="0"/>
                <w:szCs w:val="21"/>
              </w:rPr>
            </w:pPr>
            <w:r>
              <w:rPr>
                <w:rFonts w:hint="eastAsia" w:ascii="宋体" w:hAnsi="宋体" w:cs="宋体"/>
                <w:kern w:val="0"/>
                <w:szCs w:val="21"/>
              </w:rPr>
              <w:t> </w:t>
            </w:r>
          </w:p>
        </w:tc>
      </w:tr>
      <w:tr w14:paraId="49895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376" w:type="pct"/>
            <w:tcMar>
              <w:top w:w="0" w:type="dxa"/>
              <w:left w:w="10" w:type="dxa"/>
              <w:bottom w:w="0" w:type="dxa"/>
              <w:right w:w="10" w:type="dxa"/>
            </w:tcMar>
            <w:vAlign w:val="center"/>
          </w:tcPr>
          <w:p w14:paraId="1EBBA63C">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986" w:type="pct"/>
            <w:tcMar>
              <w:top w:w="0" w:type="dxa"/>
              <w:left w:w="10" w:type="dxa"/>
              <w:bottom w:w="0" w:type="dxa"/>
              <w:right w:w="10" w:type="dxa"/>
            </w:tcMar>
            <w:vAlign w:val="center"/>
          </w:tcPr>
          <w:p w14:paraId="4FA88027">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1134" w:type="pct"/>
            <w:tcMar>
              <w:top w:w="0" w:type="dxa"/>
              <w:left w:w="10" w:type="dxa"/>
              <w:bottom w:w="0" w:type="dxa"/>
              <w:right w:w="10" w:type="dxa"/>
            </w:tcMar>
            <w:vAlign w:val="center"/>
          </w:tcPr>
          <w:p w14:paraId="5928F847">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1770" w:type="pct"/>
            <w:tcMar>
              <w:top w:w="0" w:type="dxa"/>
              <w:left w:w="10" w:type="dxa"/>
              <w:bottom w:w="0" w:type="dxa"/>
              <w:right w:w="10" w:type="dxa"/>
            </w:tcMar>
            <w:vAlign w:val="center"/>
          </w:tcPr>
          <w:p w14:paraId="7F351610">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732" w:type="pct"/>
            <w:tcMar>
              <w:top w:w="0" w:type="dxa"/>
              <w:left w:w="10" w:type="dxa"/>
              <w:bottom w:w="0" w:type="dxa"/>
              <w:right w:w="10" w:type="dxa"/>
            </w:tcMar>
            <w:vAlign w:val="center"/>
          </w:tcPr>
          <w:p w14:paraId="306C69A9">
            <w:pPr>
              <w:widowControl/>
              <w:spacing w:line="360" w:lineRule="auto"/>
              <w:jc w:val="center"/>
              <w:rPr>
                <w:rFonts w:hint="eastAsia" w:ascii="宋体" w:hAnsi="宋体" w:cs="宋体"/>
                <w:kern w:val="0"/>
                <w:szCs w:val="21"/>
              </w:rPr>
            </w:pPr>
            <w:r>
              <w:rPr>
                <w:rFonts w:hint="eastAsia" w:ascii="宋体" w:hAnsi="宋体" w:cs="宋体"/>
                <w:kern w:val="0"/>
                <w:szCs w:val="21"/>
              </w:rPr>
              <w:t> </w:t>
            </w:r>
          </w:p>
        </w:tc>
      </w:tr>
      <w:tr w14:paraId="3C96C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376" w:type="pct"/>
            <w:tcMar>
              <w:top w:w="0" w:type="dxa"/>
              <w:left w:w="10" w:type="dxa"/>
              <w:bottom w:w="0" w:type="dxa"/>
              <w:right w:w="10" w:type="dxa"/>
            </w:tcMar>
            <w:vAlign w:val="center"/>
          </w:tcPr>
          <w:p w14:paraId="75D65950">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986" w:type="pct"/>
            <w:tcMar>
              <w:top w:w="0" w:type="dxa"/>
              <w:left w:w="10" w:type="dxa"/>
              <w:bottom w:w="0" w:type="dxa"/>
              <w:right w:w="10" w:type="dxa"/>
            </w:tcMar>
            <w:vAlign w:val="center"/>
          </w:tcPr>
          <w:p w14:paraId="12A53B92">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1134" w:type="pct"/>
            <w:tcMar>
              <w:top w:w="0" w:type="dxa"/>
              <w:left w:w="10" w:type="dxa"/>
              <w:bottom w:w="0" w:type="dxa"/>
              <w:right w:w="10" w:type="dxa"/>
            </w:tcMar>
            <w:vAlign w:val="center"/>
          </w:tcPr>
          <w:p w14:paraId="61D47CEC">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1770" w:type="pct"/>
            <w:tcMar>
              <w:top w:w="0" w:type="dxa"/>
              <w:left w:w="10" w:type="dxa"/>
              <w:bottom w:w="0" w:type="dxa"/>
              <w:right w:w="10" w:type="dxa"/>
            </w:tcMar>
            <w:vAlign w:val="center"/>
          </w:tcPr>
          <w:p w14:paraId="4238357D">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732" w:type="pct"/>
            <w:tcMar>
              <w:top w:w="0" w:type="dxa"/>
              <w:left w:w="10" w:type="dxa"/>
              <w:bottom w:w="0" w:type="dxa"/>
              <w:right w:w="10" w:type="dxa"/>
            </w:tcMar>
            <w:vAlign w:val="center"/>
          </w:tcPr>
          <w:p w14:paraId="39F94A24">
            <w:pPr>
              <w:widowControl/>
              <w:spacing w:line="360" w:lineRule="auto"/>
              <w:jc w:val="center"/>
              <w:rPr>
                <w:rFonts w:hint="eastAsia" w:ascii="宋体" w:hAnsi="宋体" w:cs="宋体"/>
                <w:kern w:val="0"/>
                <w:szCs w:val="21"/>
              </w:rPr>
            </w:pPr>
            <w:r>
              <w:rPr>
                <w:rFonts w:hint="eastAsia" w:ascii="宋体" w:hAnsi="宋体" w:cs="宋体"/>
                <w:kern w:val="0"/>
                <w:szCs w:val="21"/>
              </w:rPr>
              <w:t> </w:t>
            </w:r>
          </w:p>
        </w:tc>
      </w:tr>
      <w:tr w14:paraId="7F328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376" w:type="pct"/>
            <w:tcMar>
              <w:top w:w="0" w:type="dxa"/>
              <w:left w:w="10" w:type="dxa"/>
              <w:bottom w:w="0" w:type="dxa"/>
              <w:right w:w="10" w:type="dxa"/>
            </w:tcMar>
            <w:vAlign w:val="center"/>
          </w:tcPr>
          <w:p w14:paraId="5AB4AAE8">
            <w:pPr>
              <w:widowControl/>
              <w:spacing w:line="360" w:lineRule="auto"/>
              <w:jc w:val="center"/>
              <w:rPr>
                <w:rFonts w:hint="eastAsia" w:ascii="宋体" w:hAnsi="宋体" w:cs="宋体"/>
                <w:kern w:val="0"/>
                <w:szCs w:val="21"/>
              </w:rPr>
            </w:pPr>
          </w:p>
        </w:tc>
        <w:tc>
          <w:tcPr>
            <w:tcW w:w="986" w:type="pct"/>
            <w:tcMar>
              <w:top w:w="0" w:type="dxa"/>
              <w:left w:w="10" w:type="dxa"/>
              <w:bottom w:w="0" w:type="dxa"/>
              <w:right w:w="10" w:type="dxa"/>
            </w:tcMar>
            <w:vAlign w:val="center"/>
          </w:tcPr>
          <w:p w14:paraId="7F6F5B0D">
            <w:pPr>
              <w:widowControl/>
              <w:spacing w:line="360" w:lineRule="auto"/>
              <w:jc w:val="center"/>
              <w:rPr>
                <w:rFonts w:hint="eastAsia" w:ascii="宋体" w:hAnsi="宋体" w:cs="宋体"/>
                <w:kern w:val="0"/>
                <w:szCs w:val="21"/>
              </w:rPr>
            </w:pPr>
          </w:p>
        </w:tc>
        <w:tc>
          <w:tcPr>
            <w:tcW w:w="1134" w:type="pct"/>
            <w:tcMar>
              <w:top w:w="0" w:type="dxa"/>
              <w:left w:w="10" w:type="dxa"/>
              <w:bottom w:w="0" w:type="dxa"/>
              <w:right w:w="10" w:type="dxa"/>
            </w:tcMar>
            <w:vAlign w:val="center"/>
          </w:tcPr>
          <w:p w14:paraId="6481B056">
            <w:pPr>
              <w:widowControl/>
              <w:spacing w:line="360" w:lineRule="auto"/>
              <w:jc w:val="center"/>
              <w:rPr>
                <w:rFonts w:hint="eastAsia" w:ascii="宋体" w:hAnsi="宋体" w:cs="宋体"/>
                <w:kern w:val="0"/>
                <w:szCs w:val="21"/>
              </w:rPr>
            </w:pPr>
          </w:p>
        </w:tc>
        <w:tc>
          <w:tcPr>
            <w:tcW w:w="1770" w:type="pct"/>
            <w:tcMar>
              <w:top w:w="0" w:type="dxa"/>
              <w:left w:w="10" w:type="dxa"/>
              <w:bottom w:w="0" w:type="dxa"/>
              <w:right w:w="10" w:type="dxa"/>
            </w:tcMar>
            <w:vAlign w:val="center"/>
          </w:tcPr>
          <w:p w14:paraId="6A2AF8B5">
            <w:pPr>
              <w:widowControl/>
              <w:spacing w:line="360" w:lineRule="auto"/>
              <w:jc w:val="center"/>
              <w:rPr>
                <w:rFonts w:hint="eastAsia" w:ascii="宋体" w:hAnsi="宋体" w:cs="宋体"/>
                <w:kern w:val="0"/>
                <w:szCs w:val="21"/>
              </w:rPr>
            </w:pPr>
          </w:p>
        </w:tc>
        <w:tc>
          <w:tcPr>
            <w:tcW w:w="732" w:type="pct"/>
            <w:tcMar>
              <w:top w:w="0" w:type="dxa"/>
              <w:left w:w="10" w:type="dxa"/>
              <w:bottom w:w="0" w:type="dxa"/>
              <w:right w:w="10" w:type="dxa"/>
            </w:tcMar>
            <w:vAlign w:val="center"/>
          </w:tcPr>
          <w:p w14:paraId="0B4B66B5">
            <w:pPr>
              <w:widowControl/>
              <w:spacing w:line="360" w:lineRule="auto"/>
              <w:jc w:val="center"/>
              <w:rPr>
                <w:rFonts w:hint="eastAsia" w:ascii="宋体" w:hAnsi="宋体" w:cs="宋体"/>
                <w:kern w:val="0"/>
                <w:szCs w:val="21"/>
              </w:rPr>
            </w:pPr>
          </w:p>
        </w:tc>
      </w:tr>
      <w:tr w14:paraId="168D2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376" w:type="pct"/>
            <w:tcMar>
              <w:top w:w="0" w:type="dxa"/>
              <w:left w:w="10" w:type="dxa"/>
              <w:bottom w:w="0" w:type="dxa"/>
              <w:right w:w="10" w:type="dxa"/>
            </w:tcMar>
            <w:vAlign w:val="center"/>
          </w:tcPr>
          <w:p w14:paraId="6D2AAB10">
            <w:pPr>
              <w:widowControl/>
              <w:spacing w:line="360" w:lineRule="auto"/>
              <w:jc w:val="center"/>
              <w:rPr>
                <w:rFonts w:hint="eastAsia" w:ascii="宋体" w:hAnsi="宋体" w:cs="宋体"/>
                <w:kern w:val="0"/>
                <w:szCs w:val="21"/>
              </w:rPr>
            </w:pPr>
          </w:p>
        </w:tc>
        <w:tc>
          <w:tcPr>
            <w:tcW w:w="986" w:type="pct"/>
            <w:tcMar>
              <w:top w:w="0" w:type="dxa"/>
              <w:left w:w="10" w:type="dxa"/>
              <w:bottom w:w="0" w:type="dxa"/>
              <w:right w:w="10" w:type="dxa"/>
            </w:tcMar>
            <w:vAlign w:val="center"/>
          </w:tcPr>
          <w:p w14:paraId="7BEAB09F">
            <w:pPr>
              <w:widowControl/>
              <w:spacing w:line="360" w:lineRule="auto"/>
              <w:jc w:val="center"/>
              <w:rPr>
                <w:rFonts w:hint="eastAsia" w:ascii="宋体" w:hAnsi="宋体" w:cs="宋体"/>
                <w:kern w:val="0"/>
                <w:szCs w:val="21"/>
              </w:rPr>
            </w:pPr>
          </w:p>
        </w:tc>
        <w:tc>
          <w:tcPr>
            <w:tcW w:w="1134" w:type="pct"/>
            <w:tcMar>
              <w:top w:w="0" w:type="dxa"/>
              <w:left w:w="10" w:type="dxa"/>
              <w:bottom w:w="0" w:type="dxa"/>
              <w:right w:w="10" w:type="dxa"/>
            </w:tcMar>
            <w:vAlign w:val="center"/>
          </w:tcPr>
          <w:p w14:paraId="4BDD8462">
            <w:pPr>
              <w:widowControl/>
              <w:spacing w:line="360" w:lineRule="auto"/>
              <w:jc w:val="center"/>
              <w:rPr>
                <w:rFonts w:hint="eastAsia" w:ascii="宋体" w:hAnsi="宋体" w:cs="宋体"/>
                <w:kern w:val="0"/>
                <w:szCs w:val="21"/>
              </w:rPr>
            </w:pPr>
          </w:p>
        </w:tc>
        <w:tc>
          <w:tcPr>
            <w:tcW w:w="1770" w:type="pct"/>
            <w:tcMar>
              <w:top w:w="0" w:type="dxa"/>
              <w:left w:w="10" w:type="dxa"/>
              <w:bottom w:w="0" w:type="dxa"/>
              <w:right w:w="10" w:type="dxa"/>
            </w:tcMar>
            <w:vAlign w:val="center"/>
          </w:tcPr>
          <w:p w14:paraId="0AD67528">
            <w:pPr>
              <w:widowControl/>
              <w:spacing w:line="360" w:lineRule="auto"/>
              <w:jc w:val="center"/>
              <w:rPr>
                <w:rFonts w:hint="eastAsia" w:ascii="宋体" w:hAnsi="宋体" w:cs="宋体"/>
                <w:kern w:val="0"/>
                <w:szCs w:val="21"/>
              </w:rPr>
            </w:pPr>
          </w:p>
        </w:tc>
        <w:tc>
          <w:tcPr>
            <w:tcW w:w="732" w:type="pct"/>
            <w:tcMar>
              <w:top w:w="0" w:type="dxa"/>
              <w:left w:w="10" w:type="dxa"/>
              <w:bottom w:w="0" w:type="dxa"/>
              <w:right w:w="10" w:type="dxa"/>
            </w:tcMar>
            <w:vAlign w:val="center"/>
          </w:tcPr>
          <w:p w14:paraId="7E6A8C75">
            <w:pPr>
              <w:widowControl/>
              <w:spacing w:line="360" w:lineRule="auto"/>
              <w:jc w:val="center"/>
              <w:rPr>
                <w:rFonts w:hint="eastAsia" w:ascii="宋体" w:hAnsi="宋体" w:cs="宋体"/>
                <w:kern w:val="0"/>
                <w:szCs w:val="21"/>
              </w:rPr>
            </w:pPr>
          </w:p>
        </w:tc>
      </w:tr>
      <w:tr w14:paraId="26C78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376" w:type="pct"/>
            <w:tcMar>
              <w:top w:w="0" w:type="dxa"/>
              <w:left w:w="10" w:type="dxa"/>
              <w:bottom w:w="0" w:type="dxa"/>
              <w:right w:w="10" w:type="dxa"/>
            </w:tcMar>
            <w:vAlign w:val="center"/>
          </w:tcPr>
          <w:p w14:paraId="3212F840">
            <w:pPr>
              <w:widowControl/>
              <w:spacing w:line="360" w:lineRule="auto"/>
              <w:jc w:val="center"/>
              <w:rPr>
                <w:rFonts w:hint="eastAsia" w:ascii="宋体" w:hAnsi="宋体" w:cs="宋体"/>
                <w:kern w:val="0"/>
                <w:szCs w:val="21"/>
              </w:rPr>
            </w:pPr>
          </w:p>
        </w:tc>
        <w:tc>
          <w:tcPr>
            <w:tcW w:w="986" w:type="pct"/>
            <w:tcMar>
              <w:top w:w="0" w:type="dxa"/>
              <w:left w:w="10" w:type="dxa"/>
              <w:bottom w:w="0" w:type="dxa"/>
              <w:right w:w="10" w:type="dxa"/>
            </w:tcMar>
            <w:vAlign w:val="center"/>
          </w:tcPr>
          <w:p w14:paraId="08FFD160">
            <w:pPr>
              <w:widowControl/>
              <w:spacing w:line="360" w:lineRule="auto"/>
              <w:jc w:val="center"/>
              <w:rPr>
                <w:rFonts w:hint="eastAsia" w:ascii="宋体" w:hAnsi="宋体" w:cs="宋体"/>
                <w:kern w:val="0"/>
                <w:szCs w:val="21"/>
              </w:rPr>
            </w:pPr>
          </w:p>
        </w:tc>
        <w:tc>
          <w:tcPr>
            <w:tcW w:w="1134" w:type="pct"/>
            <w:tcMar>
              <w:top w:w="0" w:type="dxa"/>
              <w:left w:w="10" w:type="dxa"/>
              <w:bottom w:w="0" w:type="dxa"/>
              <w:right w:w="10" w:type="dxa"/>
            </w:tcMar>
            <w:vAlign w:val="center"/>
          </w:tcPr>
          <w:p w14:paraId="756B8973">
            <w:pPr>
              <w:widowControl/>
              <w:spacing w:line="360" w:lineRule="auto"/>
              <w:jc w:val="center"/>
              <w:rPr>
                <w:rFonts w:hint="eastAsia" w:ascii="宋体" w:hAnsi="宋体" w:cs="宋体"/>
                <w:kern w:val="0"/>
                <w:szCs w:val="21"/>
              </w:rPr>
            </w:pPr>
          </w:p>
        </w:tc>
        <w:tc>
          <w:tcPr>
            <w:tcW w:w="1770" w:type="pct"/>
            <w:tcMar>
              <w:top w:w="0" w:type="dxa"/>
              <w:left w:w="10" w:type="dxa"/>
              <w:bottom w:w="0" w:type="dxa"/>
              <w:right w:w="10" w:type="dxa"/>
            </w:tcMar>
            <w:vAlign w:val="center"/>
          </w:tcPr>
          <w:p w14:paraId="7899E338">
            <w:pPr>
              <w:widowControl/>
              <w:spacing w:line="360" w:lineRule="auto"/>
              <w:jc w:val="center"/>
              <w:rPr>
                <w:rFonts w:hint="eastAsia" w:ascii="宋体" w:hAnsi="宋体" w:cs="宋体"/>
                <w:kern w:val="0"/>
                <w:szCs w:val="21"/>
              </w:rPr>
            </w:pPr>
          </w:p>
        </w:tc>
        <w:tc>
          <w:tcPr>
            <w:tcW w:w="732" w:type="pct"/>
            <w:tcMar>
              <w:top w:w="0" w:type="dxa"/>
              <w:left w:w="10" w:type="dxa"/>
              <w:bottom w:w="0" w:type="dxa"/>
              <w:right w:w="10" w:type="dxa"/>
            </w:tcMar>
            <w:vAlign w:val="center"/>
          </w:tcPr>
          <w:p w14:paraId="2DD1A6E7">
            <w:pPr>
              <w:widowControl/>
              <w:spacing w:line="360" w:lineRule="auto"/>
              <w:jc w:val="center"/>
              <w:rPr>
                <w:rFonts w:hint="eastAsia" w:ascii="宋体" w:hAnsi="宋体" w:cs="宋体"/>
                <w:kern w:val="0"/>
                <w:szCs w:val="21"/>
              </w:rPr>
            </w:pPr>
          </w:p>
        </w:tc>
      </w:tr>
    </w:tbl>
    <w:p w14:paraId="0ED02C86">
      <w:pPr>
        <w:widowControl/>
        <w:shd w:val="clear" w:color="auto" w:fill="FFFFFF"/>
        <w:spacing w:line="360" w:lineRule="auto"/>
        <w:jc w:val="left"/>
        <w:rPr>
          <w:rFonts w:hint="eastAsia" w:ascii="宋体" w:hAnsi="宋体" w:cs="宋体"/>
          <w:kern w:val="0"/>
          <w:szCs w:val="21"/>
        </w:rPr>
      </w:pPr>
      <w:r>
        <w:rPr>
          <w:rFonts w:hint="eastAsia" w:ascii="宋体" w:hAnsi="宋体" w:cs="宋体"/>
          <w:kern w:val="0"/>
          <w:szCs w:val="21"/>
        </w:rPr>
        <w:t>说明：投标文件采购需求部分内容响应存在</w:t>
      </w:r>
      <w:r>
        <w:rPr>
          <w:rFonts w:hint="eastAsia" w:ascii="宋体" w:hAnsi="宋体" w:cs="宋体"/>
          <w:kern w:val="0"/>
          <w:szCs w:val="21"/>
          <w:lang w:val="en-US" w:eastAsia="zh-CN"/>
        </w:rPr>
        <w:t>无偏离或</w:t>
      </w:r>
      <w:r>
        <w:rPr>
          <w:rFonts w:hint="eastAsia" w:ascii="宋体" w:hAnsi="宋体" w:cs="宋体"/>
          <w:kern w:val="0"/>
          <w:szCs w:val="21"/>
        </w:rPr>
        <w:t>正偏离或负偏离的，请在本表中逐条列出。未列出的，视为响应招标文件要求。如果行数不够，请自行增加。</w:t>
      </w:r>
    </w:p>
    <w:p w14:paraId="4E0308B2">
      <w:pPr>
        <w:widowControl/>
        <w:shd w:val="clear" w:color="auto" w:fill="FFFFFF"/>
        <w:spacing w:line="360" w:lineRule="auto"/>
        <w:jc w:val="left"/>
        <w:rPr>
          <w:rFonts w:hint="eastAsia" w:ascii="宋体" w:hAnsi="宋体" w:cs="宋体"/>
          <w:kern w:val="0"/>
          <w:szCs w:val="21"/>
        </w:rPr>
      </w:pPr>
    </w:p>
    <w:p w14:paraId="33F9CE56">
      <w:pPr>
        <w:widowControl/>
        <w:shd w:val="clear" w:color="auto" w:fill="FFFFFF"/>
        <w:spacing w:line="360" w:lineRule="auto"/>
        <w:jc w:val="left"/>
        <w:rPr>
          <w:rFonts w:hint="eastAsia" w:ascii="宋体" w:hAnsi="宋体" w:cs="宋体"/>
          <w:kern w:val="0"/>
          <w:szCs w:val="21"/>
        </w:rPr>
      </w:pPr>
    </w:p>
    <w:p w14:paraId="5E7079D8">
      <w:pPr>
        <w:widowControl/>
        <w:shd w:val="clear" w:color="auto" w:fill="FFFFFF"/>
        <w:spacing w:line="360" w:lineRule="auto"/>
        <w:jc w:val="left"/>
        <w:rPr>
          <w:rFonts w:hint="eastAsia" w:ascii="宋体" w:hAnsi="宋体" w:cs="宋体"/>
          <w:kern w:val="0"/>
          <w:szCs w:val="21"/>
        </w:rPr>
      </w:pPr>
    </w:p>
    <w:p w14:paraId="019AB9DB">
      <w:pPr>
        <w:widowControl/>
        <w:shd w:val="clear" w:color="auto" w:fill="FFFFFF"/>
        <w:spacing w:line="360" w:lineRule="auto"/>
        <w:jc w:val="left"/>
        <w:rPr>
          <w:rFonts w:hint="eastAsia" w:ascii="宋体" w:hAnsi="宋体" w:cs="宋体"/>
          <w:kern w:val="0"/>
          <w:szCs w:val="21"/>
        </w:rPr>
      </w:pPr>
      <w:r>
        <w:rPr>
          <w:rFonts w:hint="eastAsia" w:ascii="宋体" w:hAnsi="宋体" w:cs="宋体"/>
          <w:kern w:val="0"/>
          <w:szCs w:val="21"/>
        </w:rPr>
        <w:t>投标单位（加盖电子公章）：</w:t>
      </w:r>
      <w:r>
        <w:rPr>
          <w:rFonts w:hint="eastAsia" w:ascii="宋体" w:hAnsi="宋体" w:cs="宋体"/>
          <w:kern w:val="0"/>
          <w:szCs w:val="21"/>
          <w:u w:val="single"/>
        </w:rPr>
        <w:t>                             </w:t>
      </w:r>
    </w:p>
    <w:p w14:paraId="70B8054F">
      <w:pPr>
        <w:widowControl/>
        <w:shd w:val="clear" w:color="auto" w:fill="FFFFFF"/>
        <w:spacing w:line="360" w:lineRule="auto"/>
        <w:jc w:val="left"/>
        <w:rPr>
          <w:rFonts w:hint="eastAsia" w:ascii="宋体" w:hAnsi="宋体" w:cs="宋体"/>
          <w:kern w:val="0"/>
          <w:szCs w:val="21"/>
        </w:rPr>
      </w:pPr>
    </w:p>
    <w:p w14:paraId="0E049BCA">
      <w:pPr>
        <w:widowControl/>
        <w:shd w:val="clear" w:color="auto" w:fill="FFFFFF"/>
        <w:spacing w:line="360" w:lineRule="auto"/>
        <w:jc w:val="left"/>
        <w:rPr>
          <w:rFonts w:hint="eastAsia" w:ascii="宋体" w:hAnsi="宋体" w:cs="宋体"/>
          <w:kern w:val="0"/>
          <w:szCs w:val="21"/>
        </w:rPr>
      </w:pPr>
      <w:r>
        <w:rPr>
          <w:rFonts w:hint="eastAsia" w:ascii="宋体" w:hAnsi="宋体" w:cs="宋体"/>
          <w:kern w:val="0"/>
          <w:szCs w:val="21"/>
        </w:rPr>
        <w:t> </w:t>
      </w:r>
    </w:p>
    <w:p w14:paraId="00821ADB">
      <w:pPr>
        <w:widowControl/>
        <w:shd w:val="clear" w:color="auto" w:fill="FFFFFF"/>
        <w:spacing w:line="360" w:lineRule="auto"/>
        <w:jc w:val="left"/>
        <w:rPr>
          <w:rFonts w:hint="eastAsia" w:ascii="宋体" w:hAnsi="宋体" w:cs="宋体"/>
          <w:kern w:val="0"/>
          <w:szCs w:val="21"/>
        </w:rPr>
      </w:pPr>
      <w:r>
        <w:rPr>
          <w:rFonts w:hint="eastAsia" w:ascii="宋体" w:hAnsi="宋体" w:cs="宋体"/>
          <w:kern w:val="0"/>
          <w:szCs w:val="21"/>
        </w:rPr>
        <w:t> </w:t>
      </w:r>
    </w:p>
    <w:p w14:paraId="0AA70788">
      <w:pPr>
        <w:widowControl/>
        <w:shd w:val="clear" w:color="auto" w:fill="FFFFFF"/>
        <w:spacing w:line="360" w:lineRule="auto"/>
        <w:jc w:val="left"/>
        <w:rPr>
          <w:rFonts w:hint="eastAsia" w:ascii="宋体" w:hAnsi="宋体" w:cs="宋体"/>
          <w:kern w:val="0"/>
          <w:szCs w:val="21"/>
        </w:rPr>
      </w:pPr>
      <w:r>
        <w:rPr>
          <w:rFonts w:hint="eastAsia" w:ascii="宋体" w:hAnsi="宋体" w:cs="宋体"/>
          <w:kern w:val="0"/>
          <w:szCs w:val="21"/>
        </w:rPr>
        <w:t> </w:t>
      </w:r>
    </w:p>
    <w:p w14:paraId="254FD729">
      <w:pPr>
        <w:widowControl/>
        <w:shd w:val="clear" w:color="auto" w:fill="FFFFFF"/>
        <w:spacing w:line="360" w:lineRule="auto"/>
        <w:jc w:val="left"/>
        <w:rPr>
          <w:rFonts w:hint="eastAsia" w:ascii="宋体" w:hAnsi="宋体" w:cs="宋体"/>
          <w:kern w:val="0"/>
          <w:szCs w:val="21"/>
        </w:rPr>
      </w:pPr>
      <w:r>
        <w:rPr>
          <w:rFonts w:hint="eastAsia" w:ascii="宋体" w:hAnsi="宋体" w:cs="宋体"/>
          <w:kern w:val="0"/>
          <w:szCs w:val="21"/>
        </w:rPr>
        <w:t> </w:t>
      </w:r>
    </w:p>
    <w:p w14:paraId="10DF182F">
      <w:pPr>
        <w:widowControl/>
        <w:shd w:val="clear" w:color="auto" w:fill="FFFFFF"/>
        <w:spacing w:line="360" w:lineRule="auto"/>
        <w:jc w:val="left"/>
        <w:rPr>
          <w:rFonts w:hint="eastAsia" w:ascii="宋体" w:hAnsi="宋体" w:cs="宋体"/>
          <w:kern w:val="0"/>
          <w:szCs w:val="21"/>
        </w:rPr>
      </w:pPr>
      <w:r>
        <w:rPr>
          <w:rFonts w:hint="eastAsia" w:ascii="宋体" w:hAnsi="宋体" w:cs="宋体"/>
          <w:kern w:val="0"/>
          <w:szCs w:val="21"/>
        </w:rPr>
        <w:t> </w:t>
      </w:r>
    </w:p>
    <w:p w14:paraId="54F33556">
      <w:pPr>
        <w:widowControl/>
        <w:shd w:val="clear" w:color="auto" w:fill="FFFFFF"/>
        <w:spacing w:line="360" w:lineRule="auto"/>
        <w:jc w:val="left"/>
        <w:rPr>
          <w:rFonts w:hint="eastAsia" w:ascii="宋体" w:hAnsi="宋体" w:cs="宋体"/>
          <w:kern w:val="0"/>
          <w:szCs w:val="21"/>
        </w:rPr>
      </w:pPr>
      <w:r>
        <w:rPr>
          <w:rFonts w:hint="eastAsia" w:ascii="宋体" w:hAnsi="宋体" w:cs="宋体"/>
          <w:kern w:val="0"/>
          <w:szCs w:val="21"/>
        </w:rPr>
        <w:t> </w:t>
      </w:r>
    </w:p>
    <w:p w14:paraId="57497946">
      <w:pPr>
        <w:widowControl/>
        <w:shd w:val="clear" w:color="auto" w:fill="FFFFFF"/>
        <w:spacing w:line="360" w:lineRule="auto"/>
        <w:jc w:val="left"/>
        <w:rPr>
          <w:rFonts w:hint="eastAsia" w:ascii="宋体" w:hAnsi="宋体" w:cs="宋体"/>
          <w:kern w:val="0"/>
          <w:szCs w:val="21"/>
        </w:rPr>
      </w:pPr>
      <w:r>
        <w:rPr>
          <w:rFonts w:hint="eastAsia" w:ascii="宋体" w:hAnsi="宋体" w:cs="宋体"/>
          <w:b/>
          <w:bCs/>
          <w:kern w:val="0"/>
          <w:szCs w:val="21"/>
        </w:rPr>
        <w:br w:type="page"/>
      </w:r>
      <w:r>
        <w:rPr>
          <w:rFonts w:hint="eastAsia" w:ascii="宋体" w:hAnsi="宋体" w:cs="宋体"/>
          <w:b/>
          <w:bCs/>
          <w:kern w:val="0"/>
          <w:szCs w:val="21"/>
        </w:rPr>
        <w:t>附件六、商务条款偏离表格式</w:t>
      </w:r>
    </w:p>
    <w:p w14:paraId="72DF78C3">
      <w:pPr>
        <w:widowControl/>
        <w:shd w:val="clear" w:color="auto" w:fill="FFFFFF"/>
        <w:spacing w:line="360" w:lineRule="auto"/>
        <w:ind w:firstLine="420"/>
        <w:jc w:val="left"/>
        <w:rPr>
          <w:rFonts w:hint="eastAsia" w:ascii="宋体" w:hAnsi="宋体" w:cs="宋体"/>
          <w:kern w:val="0"/>
          <w:szCs w:val="21"/>
        </w:rPr>
      </w:pPr>
      <w:r>
        <w:rPr>
          <w:rFonts w:hint="eastAsia" w:ascii="宋体" w:hAnsi="宋体" w:cs="宋体"/>
          <w:kern w:val="0"/>
          <w:szCs w:val="21"/>
        </w:rPr>
        <w:t> </w:t>
      </w:r>
    </w:p>
    <w:p w14:paraId="75EF3888">
      <w:pPr>
        <w:widowControl/>
        <w:shd w:val="clear" w:color="auto" w:fill="FFFFFF"/>
        <w:spacing w:line="360" w:lineRule="auto"/>
        <w:ind w:left="420"/>
        <w:jc w:val="center"/>
        <w:rPr>
          <w:rFonts w:hint="eastAsia" w:ascii="宋体" w:hAnsi="宋体" w:cs="宋体"/>
          <w:b/>
          <w:kern w:val="0"/>
          <w:szCs w:val="21"/>
        </w:rPr>
      </w:pPr>
      <w:r>
        <w:rPr>
          <w:rFonts w:hint="eastAsia" w:ascii="宋体" w:hAnsi="宋体" w:cs="宋体"/>
          <w:b/>
          <w:kern w:val="0"/>
          <w:sz w:val="36"/>
          <w:szCs w:val="36"/>
        </w:rPr>
        <w:t>商务条款偏离表</w:t>
      </w:r>
    </w:p>
    <w:p w14:paraId="31465945">
      <w:pPr>
        <w:widowControl/>
        <w:shd w:val="clear" w:color="auto" w:fill="FFFFFF"/>
        <w:spacing w:line="360" w:lineRule="auto"/>
        <w:jc w:val="left"/>
        <w:rPr>
          <w:rFonts w:hint="eastAsia" w:ascii="宋体" w:hAnsi="宋体" w:cs="宋体"/>
          <w:kern w:val="0"/>
          <w:szCs w:val="21"/>
        </w:rPr>
      </w:pPr>
      <w:r>
        <w:rPr>
          <w:rFonts w:hint="eastAsia" w:ascii="宋体" w:hAnsi="宋体" w:cs="宋体"/>
          <w:kern w:val="0"/>
          <w:sz w:val="24"/>
        </w:rPr>
        <w:t> </w:t>
      </w:r>
    </w:p>
    <w:p w14:paraId="69A5BC2E">
      <w:pPr>
        <w:widowControl/>
        <w:tabs>
          <w:tab w:val="left" w:pos="5366"/>
        </w:tabs>
        <w:spacing w:line="360" w:lineRule="auto"/>
        <w:ind w:firstLine="96" w:firstLineChars="46"/>
        <w:jc w:val="left"/>
        <w:rPr>
          <w:rFonts w:hint="eastAsia" w:ascii="宋体" w:hAnsi="宋体" w:cs="宋体"/>
          <w:kern w:val="0"/>
          <w:szCs w:val="21"/>
        </w:rPr>
      </w:pPr>
      <w:r>
        <w:rPr>
          <w:rFonts w:hint="eastAsia" w:ascii="宋体" w:hAnsi="宋体" w:cs="宋体"/>
          <w:kern w:val="0"/>
          <w:szCs w:val="21"/>
        </w:rPr>
        <w:t>项目名称：</w:t>
      </w:r>
      <w:r>
        <w:rPr>
          <w:rFonts w:hint="eastAsia" w:ascii="宋体" w:hAnsi="宋体" w:cs="宋体"/>
          <w:kern w:val="0"/>
          <w:szCs w:val="21"/>
        </w:rPr>
        <w:tab/>
      </w:r>
      <w:r>
        <w:rPr>
          <w:rFonts w:hint="eastAsia" w:ascii="宋体" w:hAnsi="宋体" w:cs="宋体"/>
          <w:kern w:val="0"/>
          <w:szCs w:val="21"/>
        </w:rPr>
        <w:t>项目编号：         </w:t>
      </w:r>
    </w:p>
    <w:tbl>
      <w:tblPr>
        <w:tblStyle w:val="46"/>
        <w:tblW w:w="8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0"/>
        <w:gridCol w:w="1679"/>
        <w:gridCol w:w="2488"/>
        <w:gridCol w:w="3004"/>
        <w:gridCol w:w="1201"/>
      </w:tblGrid>
      <w:tr w14:paraId="3FCCF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7ABAFF36">
            <w:pPr>
              <w:widowControl/>
              <w:spacing w:line="360" w:lineRule="auto"/>
              <w:jc w:val="center"/>
              <w:rPr>
                <w:rFonts w:hint="eastAsia" w:ascii="宋体" w:hAnsi="宋体" w:cs="宋体"/>
                <w:b/>
                <w:kern w:val="0"/>
                <w:szCs w:val="21"/>
              </w:rPr>
            </w:pPr>
            <w:r>
              <w:rPr>
                <w:rFonts w:hint="eastAsia" w:ascii="宋体" w:hAnsi="宋体" w:cs="宋体"/>
                <w:b/>
                <w:kern w:val="0"/>
                <w:szCs w:val="21"/>
              </w:rPr>
              <w:t>序号</w:t>
            </w:r>
          </w:p>
        </w:tc>
        <w:tc>
          <w:tcPr>
            <w:tcW w:w="1679" w:type="dxa"/>
            <w:tcMar>
              <w:top w:w="0" w:type="dxa"/>
              <w:left w:w="10" w:type="dxa"/>
              <w:bottom w:w="0" w:type="dxa"/>
              <w:right w:w="10" w:type="dxa"/>
            </w:tcMar>
            <w:vAlign w:val="center"/>
          </w:tcPr>
          <w:p w14:paraId="75042EF5">
            <w:pPr>
              <w:widowControl/>
              <w:spacing w:line="360" w:lineRule="auto"/>
              <w:jc w:val="center"/>
              <w:rPr>
                <w:rFonts w:hint="eastAsia" w:ascii="宋体" w:hAnsi="宋体" w:cs="宋体"/>
                <w:b/>
                <w:kern w:val="0"/>
                <w:szCs w:val="21"/>
              </w:rPr>
            </w:pPr>
            <w:r>
              <w:rPr>
                <w:rFonts w:hint="eastAsia" w:ascii="宋体" w:hAnsi="宋体" w:cs="宋体"/>
                <w:b/>
                <w:kern w:val="0"/>
                <w:szCs w:val="21"/>
              </w:rPr>
              <w:t>招标文件条目号</w:t>
            </w:r>
          </w:p>
        </w:tc>
        <w:tc>
          <w:tcPr>
            <w:tcW w:w="2488" w:type="dxa"/>
            <w:tcMar>
              <w:top w:w="0" w:type="dxa"/>
              <w:left w:w="10" w:type="dxa"/>
              <w:bottom w:w="0" w:type="dxa"/>
              <w:right w:w="10" w:type="dxa"/>
            </w:tcMar>
            <w:vAlign w:val="center"/>
          </w:tcPr>
          <w:p w14:paraId="325F7857">
            <w:pPr>
              <w:widowControl/>
              <w:spacing w:line="360" w:lineRule="auto"/>
              <w:jc w:val="center"/>
              <w:rPr>
                <w:rFonts w:hint="eastAsia" w:ascii="宋体" w:hAnsi="宋体" w:cs="宋体"/>
                <w:b/>
                <w:kern w:val="0"/>
                <w:szCs w:val="21"/>
              </w:rPr>
            </w:pPr>
            <w:r>
              <w:rPr>
                <w:rFonts w:hint="eastAsia" w:ascii="宋体" w:hAnsi="宋体" w:cs="宋体"/>
                <w:b/>
                <w:kern w:val="0"/>
                <w:szCs w:val="21"/>
              </w:rPr>
              <w:t>招标文件要求的商务条款</w:t>
            </w:r>
          </w:p>
        </w:tc>
        <w:tc>
          <w:tcPr>
            <w:tcW w:w="3004" w:type="dxa"/>
            <w:tcMar>
              <w:top w:w="0" w:type="dxa"/>
              <w:left w:w="10" w:type="dxa"/>
              <w:bottom w:w="0" w:type="dxa"/>
              <w:right w:w="10" w:type="dxa"/>
            </w:tcMar>
            <w:vAlign w:val="center"/>
          </w:tcPr>
          <w:p w14:paraId="5023D75E">
            <w:pPr>
              <w:widowControl/>
              <w:spacing w:line="360" w:lineRule="auto"/>
              <w:jc w:val="center"/>
              <w:rPr>
                <w:rFonts w:hint="eastAsia" w:ascii="宋体" w:hAnsi="宋体" w:cs="宋体"/>
                <w:b/>
                <w:kern w:val="0"/>
                <w:szCs w:val="21"/>
              </w:rPr>
            </w:pPr>
            <w:r>
              <w:rPr>
                <w:rFonts w:hint="eastAsia" w:ascii="宋体" w:hAnsi="宋体" w:cs="宋体"/>
                <w:b/>
                <w:kern w:val="0"/>
                <w:szCs w:val="21"/>
              </w:rPr>
              <w:t>投标响应</w:t>
            </w:r>
          </w:p>
        </w:tc>
        <w:tc>
          <w:tcPr>
            <w:tcW w:w="1201" w:type="dxa"/>
            <w:tcMar>
              <w:top w:w="0" w:type="dxa"/>
              <w:left w:w="10" w:type="dxa"/>
              <w:bottom w:w="0" w:type="dxa"/>
              <w:right w:w="10" w:type="dxa"/>
            </w:tcMar>
            <w:vAlign w:val="center"/>
          </w:tcPr>
          <w:p w14:paraId="4FAC85F5">
            <w:pPr>
              <w:widowControl/>
              <w:spacing w:line="360" w:lineRule="auto"/>
              <w:jc w:val="center"/>
              <w:rPr>
                <w:rFonts w:hint="eastAsia" w:ascii="宋体" w:hAnsi="宋体" w:cs="宋体"/>
                <w:b/>
                <w:kern w:val="0"/>
                <w:szCs w:val="21"/>
              </w:rPr>
            </w:pPr>
            <w:r>
              <w:rPr>
                <w:rFonts w:hint="eastAsia" w:ascii="宋体" w:hAnsi="宋体" w:cs="宋体"/>
                <w:b/>
                <w:kern w:val="0"/>
                <w:szCs w:val="21"/>
              </w:rPr>
              <w:t>偏离</w:t>
            </w:r>
          </w:p>
        </w:tc>
      </w:tr>
      <w:tr w14:paraId="0E207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6B7C0761">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1679" w:type="dxa"/>
            <w:tcMar>
              <w:top w:w="0" w:type="dxa"/>
              <w:left w:w="10" w:type="dxa"/>
              <w:bottom w:w="0" w:type="dxa"/>
              <w:right w:w="10" w:type="dxa"/>
            </w:tcMar>
            <w:vAlign w:val="center"/>
          </w:tcPr>
          <w:p w14:paraId="38B4C840">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2488" w:type="dxa"/>
            <w:tcMar>
              <w:top w:w="0" w:type="dxa"/>
              <w:left w:w="10" w:type="dxa"/>
              <w:bottom w:w="0" w:type="dxa"/>
              <w:right w:w="10" w:type="dxa"/>
            </w:tcMar>
            <w:vAlign w:val="center"/>
          </w:tcPr>
          <w:p w14:paraId="3265A6FA">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3004" w:type="dxa"/>
            <w:tcMar>
              <w:top w:w="0" w:type="dxa"/>
              <w:left w:w="10" w:type="dxa"/>
              <w:bottom w:w="0" w:type="dxa"/>
              <w:right w:w="10" w:type="dxa"/>
            </w:tcMar>
            <w:vAlign w:val="center"/>
          </w:tcPr>
          <w:p w14:paraId="5BF8A2BD">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1201" w:type="dxa"/>
            <w:tcMar>
              <w:top w:w="0" w:type="dxa"/>
              <w:left w:w="10" w:type="dxa"/>
              <w:bottom w:w="0" w:type="dxa"/>
              <w:right w:w="10" w:type="dxa"/>
            </w:tcMar>
            <w:vAlign w:val="center"/>
          </w:tcPr>
          <w:p w14:paraId="6568097A">
            <w:pPr>
              <w:widowControl/>
              <w:spacing w:line="360" w:lineRule="auto"/>
              <w:jc w:val="center"/>
              <w:rPr>
                <w:rFonts w:hint="eastAsia" w:ascii="宋体" w:hAnsi="宋体" w:cs="宋体"/>
                <w:kern w:val="0"/>
                <w:szCs w:val="21"/>
              </w:rPr>
            </w:pPr>
            <w:r>
              <w:rPr>
                <w:rFonts w:hint="eastAsia" w:ascii="宋体" w:hAnsi="宋体" w:cs="宋体"/>
                <w:kern w:val="0"/>
                <w:szCs w:val="21"/>
              </w:rPr>
              <w:t> </w:t>
            </w:r>
          </w:p>
        </w:tc>
      </w:tr>
      <w:tr w14:paraId="24689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2B638B58">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1679" w:type="dxa"/>
            <w:tcMar>
              <w:top w:w="0" w:type="dxa"/>
              <w:left w:w="10" w:type="dxa"/>
              <w:bottom w:w="0" w:type="dxa"/>
              <w:right w:w="10" w:type="dxa"/>
            </w:tcMar>
            <w:vAlign w:val="center"/>
          </w:tcPr>
          <w:p w14:paraId="769E417C">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2488" w:type="dxa"/>
            <w:tcMar>
              <w:top w:w="0" w:type="dxa"/>
              <w:left w:w="10" w:type="dxa"/>
              <w:bottom w:w="0" w:type="dxa"/>
              <w:right w:w="10" w:type="dxa"/>
            </w:tcMar>
            <w:vAlign w:val="center"/>
          </w:tcPr>
          <w:p w14:paraId="4279F94A">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3004" w:type="dxa"/>
            <w:tcMar>
              <w:top w:w="0" w:type="dxa"/>
              <w:left w:w="10" w:type="dxa"/>
              <w:bottom w:w="0" w:type="dxa"/>
              <w:right w:w="10" w:type="dxa"/>
            </w:tcMar>
            <w:vAlign w:val="center"/>
          </w:tcPr>
          <w:p w14:paraId="5D76A054">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1201" w:type="dxa"/>
            <w:tcMar>
              <w:top w:w="0" w:type="dxa"/>
              <w:left w:w="10" w:type="dxa"/>
              <w:bottom w:w="0" w:type="dxa"/>
              <w:right w:w="10" w:type="dxa"/>
            </w:tcMar>
            <w:vAlign w:val="center"/>
          </w:tcPr>
          <w:p w14:paraId="464BA2BB">
            <w:pPr>
              <w:widowControl/>
              <w:spacing w:line="360" w:lineRule="auto"/>
              <w:jc w:val="center"/>
              <w:rPr>
                <w:rFonts w:hint="eastAsia" w:ascii="宋体" w:hAnsi="宋体" w:cs="宋体"/>
                <w:kern w:val="0"/>
                <w:szCs w:val="21"/>
              </w:rPr>
            </w:pPr>
            <w:r>
              <w:rPr>
                <w:rFonts w:hint="eastAsia" w:ascii="宋体" w:hAnsi="宋体" w:cs="宋体"/>
                <w:kern w:val="0"/>
                <w:szCs w:val="21"/>
              </w:rPr>
              <w:t> </w:t>
            </w:r>
          </w:p>
        </w:tc>
      </w:tr>
      <w:tr w14:paraId="6DA0B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2FFE6E31">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1679" w:type="dxa"/>
            <w:tcMar>
              <w:top w:w="0" w:type="dxa"/>
              <w:left w:w="10" w:type="dxa"/>
              <w:bottom w:w="0" w:type="dxa"/>
              <w:right w:w="10" w:type="dxa"/>
            </w:tcMar>
            <w:vAlign w:val="center"/>
          </w:tcPr>
          <w:p w14:paraId="518D9DE8">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2488" w:type="dxa"/>
            <w:tcMar>
              <w:top w:w="0" w:type="dxa"/>
              <w:left w:w="10" w:type="dxa"/>
              <w:bottom w:w="0" w:type="dxa"/>
              <w:right w:w="10" w:type="dxa"/>
            </w:tcMar>
            <w:vAlign w:val="center"/>
          </w:tcPr>
          <w:p w14:paraId="39A3A109">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3004" w:type="dxa"/>
            <w:tcMar>
              <w:top w:w="0" w:type="dxa"/>
              <w:left w:w="10" w:type="dxa"/>
              <w:bottom w:w="0" w:type="dxa"/>
              <w:right w:w="10" w:type="dxa"/>
            </w:tcMar>
            <w:vAlign w:val="center"/>
          </w:tcPr>
          <w:p w14:paraId="7B1E0EA7">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1201" w:type="dxa"/>
            <w:tcMar>
              <w:top w:w="0" w:type="dxa"/>
              <w:left w:w="10" w:type="dxa"/>
              <w:bottom w:w="0" w:type="dxa"/>
              <w:right w:w="10" w:type="dxa"/>
            </w:tcMar>
            <w:vAlign w:val="center"/>
          </w:tcPr>
          <w:p w14:paraId="7A5A6EB5">
            <w:pPr>
              <w:widowControl/>
              <w:spacing w:line="360" w:lineRule="auto"/>
              <w:jc w:val="center"/>
              <w:rPr>
                <w:rFonts w:hint="eastAsia" w:ascii="宋体" w:hAnsi="宋体" w:cs="宋体"/>
                <w:kern w:val="0"/>
                <w:szCs w:val="21"/>
              </w:rPr>
            </w:pPr>
            <w:r>
              <w:rPr>
                <w:rFonts w:hint="eastAsia" w:ascii="宋体" w:hAnsi="宋体" w:cs="宋体"/>
                <w:kern w:val="0"/>
                <w:szCs w:val="21"/>
              </w:rPr>
              <w:t> </w:t>
            </w:r>
          </w:p>
        </w:tc>
      </w:tr>
      <w:tr w14:paraId="579A2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083D0192">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1679" w:type="dxa"/>
            <w:tcMar>
              <w:top w:w="0" w:type="dxa"/>
              <w:left w:w="10" w:type="dxa"/>
              <w:bottom w:w="0" w:type="dxa"/>
              <w:right w:w="10" w:type="dxa"/>
            </w:tcMar>
            <w:vAlign w:val="center"/>
          </w:tcPr>
          <w:p w14:paraId="274C9663">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2488" w:type="dxa"/>
            <w:tcMar>
              <w:top w:w="0" w:type="dxa"/>
              <w:left w:w="10" w:type="dxa"/>
              <w:bottom w:w="0" w:type="dxa"/>
              <w:right w:w="10" w:type="dxa"/>
            </w:tcMar>
            <w:vAlign w:val="center"/>
          </w:tcPr>
          <w:p w14:paraId="54718E57">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3004" w:type="dxa"/>
            <w:tcMar>
              <w:top w:w="0" w:type="dxa"/>
              <w:left w:w="10" w:type="dxa"/>
              <w:bottom w:w="0" w:type="dxa"/>
              <w:right w:w="10" w:type="dxa"/>
            </w:tcMar>
            <w:vAlign w:val="center"/>
          </w:tcPr>
          <w:p w14:paraId="46384F72">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1201" w:type="dxa"/>
            <w:tcMar>
              <w:top w:w="0" w:type="dxa"/>
              <w:left w:w="10" w:type="dxa"/>
              <w:bottom w:w="0" w:type="dxa"/>
              <w:right w:w="10" w:type="dxa"/>
            </w:tcMar>
            <w:vAlign w:val="center"/>
          </w:tcPr>
          <w:p w14:paraId="0763DA1A">
            <w:pPr>
              <w:widowControl/>
              <w:spacing w:line="360" w:lineRule="auto"/>
              <w:jc w:val="center"/>
              <w:rPr>
                <w:rFonts w:hint="eastAsia" w:ascii="宋体" w:hAnsi="宋体" w:cs="宋体"/>
                <w:kern w:val="0"/>
                <w:szCs w:val="21"/>
              </w:rPr>
            </w:pPr>
            <w:r>
              <w:rPr>
                <w:rFonts w:hint="eastAsia" w:ascii="宋体" w:hAnsi="宋体" w:cs="宋体"/>
                <w:kern w:val="0"/>
                <w:szCs w:val="21"/>
              </w:rPr>
              <w:t> </w:t>
            </w:r>
          </w:p>
        </w:tc>
      </w:tr>
      <w:tr w14:paraId="6FF2E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106C6854">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1679" w:type="dxa"/>
            <w:tcMar>
              <w:top w:w="0" w:type="dxa"/>
              <w:left w:w="10" w:type="dxa"/>
              <w:bottom w:w="0" w:type="dxa"/>
              <w:right w:w="10" w:type="dxa"/>
            </w:tcMar>
            <w:vAlign w:val="center"/>
          </w:tcPr>
          <w:p w14:paraId="5E420C93">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2488" w:type="dxa"/>
            <w:tcMar>
              <w:top w:w="0" w:type="dxa"/>
              <w:left w:w="10" w:type="dxa"/>
              <w:bottom w:w="0" w:type="dxa"/>
              <w:right w:w="10" w:type="dxa"/>
            </w:tcMar>
            <w:vAlign w:val="center"/>
          </w:tcPr>
          <w:p w14:paraId="092E2D32">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3004" w:type="dxa"/>
            <w:tcMar>
              <w:top w:w="0" w:type="dxa"/>
              <w:left w:w="10" w:type="dxa"/>
              <w:bottom w:w="0" w:type="dxa"/>
              <w:right w:w="10" w:type="dxa"/>
            </w:tcMar>
            <w:vAlign w:val="center"/>
          </w:tcPr>
          <w:p w14:paraId="18280390">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1201" w:type="dxa"/>
            <w:tcMar>
              <w:top w:w="0" w:type="dxa"/>
              <w:left w:w="10" w:type="dxa"/>
              <w:bottom w:w="0" w:type="dxa"/>
              <w:right w:w="10" w:type="dxa"/>
            </w:tcMar>
            <w:vAlign w:val="center"/>
          </w:tcPr>
          <w:p w14:paraId="55505EAF">
            <w:pPr>
              <w:widowControl/>
              <w:spacing w:line="360" w:lineRule="auto"/>
              <w:jc w:val="center"/>
              <w:rPr>
                <w:rFonts w:hint="eastAsia" w:ascii="宋体" w:hAnsi="宋体" w:cs="宋体"/>
                <w:kern w:val="0"/>
                <w:szCs w:val="21"/>
              </w:rPr>
            </w:pPr>
            <w:r>
              <w:rPr>
                <w:rFonts w:hint="eastAsia" w:ascii="宋体" w:hAnsi="宋体" w:cs="宋体"/>
                <w:kern w:val="0"/>
                <w:szCs w:val="21"/>
              </w:rPr>
              <w:t> </w:t>
            </w:r>
          </w:p>
        </w:tc>
      </w:tr>
      <w:tr w14:paraId="33C7C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1E099B33">
            <w:pPr>
              <w:widowControl/>
              <w:spacing w:line="360" w:lineRule="auto"/>
              <w:jc w:val="center"/>
              <w:rPr>
                <w:rFonts w:hint="eastAsia" w:ascii="宋体" w:hAnsi="宋体" w:cs="宋体"/>
                <w:kern w:val="0"/>
                <w:szCs w:val="21"/>
              </w:rPr>
            </w:pPr>
          </w:p>
        </w:tc>
        <w:tc>
          <w:tcPr>
            <w:tcW w:w="1679" w:type="dxa"/>
            <w:tcMar>
              <w:top w:w="0" w:type="dxa"/>
              <w:left w:w="10" w:type="dxa"/>
              <w:bottom w:w="0" w:type="dxa"/>
              <w:right w:w="10" w:type="dxa"/>
            </w:tcMar>
            <w:vAlign w:val="center"/>
          </w:tcPr>
          <w:p w14:paraId="58F864EA">
            <w:pPr>
              <w:widowControl/>
              <w:spacing w:line="360" w:lineRule="auto"/>
              <w:jc w:val="center"/>
              <w:rPr>
                <w:rFonts w:hint="eastAsia" w:ascii="宋体" w:hAnsi="宋体" w:cs="宋体"/>
                <w:kern w:val="0"/>
                <w:szCs w:val="21"/>
              </w:rPr>
            </w:pPr>
          </w:p>
        </w:tc>
        <w:tc>
          <w:tcPr>
            <w:tcW w:w="2488" w:type="dxa"/>
            <w:tcMar>
              <w:top w:w="0" w:type="dxa"/>
              <w:left w:w="10" w:type="dxa"/>
              <w:bottom w:w="0" w:type="dxa"/>
              <w:right w:w="10" w:type="dxa"/>
            </w:tcMar>
            <w:vAlign w:val="center"/>
          </w:tcPr>
          <w:p w14:paraId="1FACC85F">
            <w:pPr>
              <w:widowControl/>
              <w:spacing w:line="360" w:lineRule="auto"/>
              <w:jc w:val="center"/>
              <w:rPr>
                <w:rFonts w:hint="eastAsia" w:ascii="宋体" w:hAnsi="宋体" w:cs="宋体"/>
                <w:kern w:val="0"/>
                <w:szCs w:val="21"/>
              </w:rPr>
            </w:pPr>
          </w:p>
        </w:tc>
        <w:tc>
          <w:tcPr>
            <w:tcW w:w="3004" w:type="dxa"/>
            <w:tcMar>
              <w:top w:w="0" w:type="dxa"/>
              <w:left w:w="10" w:type="dxa"/>
              <w:bottom w:w="0" w:type="dxa"/>
              <w:right w:w="10" w:type="dxa"/>
            </w:tcMar>
            <w:vAlign w:val="center"/>
          </w:tcPr>
          <w:p w14:paraId="180A2B32">
            <w:pPr>
              <w:widowControl/>
              <w:spacing w:line="360" w:lineRule="auto"/>
              <w:jc w:val="center"/>
              <w:rPr>
                <w:rFonts w:hint="eastAsia" w:ascii="宋体" w:hAnsi="宋体" w:cs="宋体"/>
                <w:kern w:val="0"/>
                <w:szCs w:val="21"/>
              </w:rPr>
            </w:pPr>
          </w:p>
        </w:tc>
        <w:tc>
          <w:tcPr>
            <w:tcW w:w="1201" w:type="dxa"/>
            <w:tcMar>
              <w:top w:w="0" w:type="dxa"/>
              <w:left w:w="10" w:type="dxa"/>
              <w:bottom w:w="0" w:type="dxa"/>
              <w:right w:w="10" w:type="dxa"/>
            </w:tcMar>
            <w:vAlign w:val="center"/>
          </w:tcPr>
          <w:p w14:paraId="25086AC8">
            <w:pPr>
              <w:widowControl/>
              <w:spacing w:line="360" w:lineRule="auto"/>
              <w:jc w:val="center"/>
              <w:rPr>
                <w:rFonts w:hint="eastAsia" w:ascii="宋体" w:hAnsi="宋体" w:cs="宋体"/>
                <w:kern w:val="0"/>
                <w:szCs w:val="21"/>
              </w:rPr>
            </w:pPr>
          </w:p>
        </w:tc>
      </w:tr>
      <w:tr w14:paraId="0E1AB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43100183">
            <w:pPr>
              <w:widowControl/>
              <w:spacing w:line="360" w:lineRule="auto"/>
              <w:jc w:val="center"/>
              <w:rPr>
                <w:rFonts w:hint="eastAsia" w:ascii="宋体" w:hAnsi="宋体" w:cs="宋体"/>
                <w:kern w:val="0"/>
                <w:szCs w:val="21"/>
              </w:rPr>
            </w:pPr>
          </w:p>
        </w:tc>
        <w:tc>
          <w:tcPr>
            <w:tcW w:w="1679" w:type="dxa"/>
            <w:tcMar>
              <w:top w:w="0" w:type="dxa"/>
              <w:left w:w="10" w:type="dxa"/>
              <w:bottom w:w="0" w:type="dxa"/>
              <w:right w:w="10" w:type="dxa"/>
            </w:tcMar>
            <w:vAlign w:val="center"/>
          </w:tcPr>
          <w:p w14:paraId="57F5EE8F">
            <w:pPr>
              <w:widowControl/>
              <w:spacing w:line="360" w:lineRule="auto"/>
              <w:jc w:val="center"/>
              <w:rPr>
                <w:rFonts w:hint="eastAsia" w:ascii="宋体" w:hAnsi="宋体" w:cs="宋体"/>
                <w:kern w:val="0"/>
                <w:szCs w:val="21"/>
              </w:rPr>
            </w:pPr>
          </w:p>
        </w:tc>
        <w:tc>
          <w:tcPr>
            <w:tcW w:w="2488" w:type="dxa"/>
            <w:tcMar>
              <w:top w:w="0" w:type="dxa"/>
              <w:left w:w="10" w:type="dxa"/>
              <w:bottom w:w="0" w:type="dxa"/>
              <w:right w:w="10" w:type="dxa"/>
            </w:tcMar>
            <w:vAlign w:val="center"/>
          </w:tcPr>
          <w:p w14:paraId="2D6636B6">
            <w:pPr>
              <w:widowControl/>
              <w:spacing w:line="360" w:lineRule="auto"/>
              <w:jc w:val="center"/>
              <w:rPr>
                <w:rFonts w:hint="eastAsia" w:ascii="宋体" w:hAnsi="宋体" w:cs="宋体"/>
                <w:kern w:val="0"/>
                <w:szCs w:val="21"/>
              </w:rPr>
            </w:pPr>
          </w:p>
        </w:tc>
        <w:tc>
          <w:tcPr>
            <w:tcW w:w="3004" w:type="dxa"/>
            <w:tcMar>
              <w:top w:w="0" w:type="dxa"/>
              <w:left w:w="10" w:type="dxa"/>
              <w:bottom w:w="0" w:type="dxa"/>
              <w:right w:w="10" w:type="dxa"/>
            </w:tcMar>
            <w:vAlign w:val="center"/>
          </w:tcPr>
          <w:p w14:paraId="094F4E57">
            <w:pPr>
              <w:widowControl/>
              <w:spacing w:line="360" w:lineRule="auto"/>
              <w:jc w:val="center"/>
              <w:rPr>
                <w:rFonts w:hint="eastAsia" w:ascii="宋体" w:hAnsi="宋体" w:cs="宋体"/>
                <w:kern w:val="0"/>
                <w:szCs w:val="21"/>
              </w:rPr>
            </w:pPr>
          </w:p>
        </w:tc>
        <w:tc>
          <w:tcPr>
            <w:tcW w:w="1201" w:type="dxa"/>
            <w:tcMar>
              <w:top w:w="0" w:type="dxa"/>
              <w:left w:w="10" w:type="dxa"/>
              <w:bottom w:w="0" w:type="dxa"/>
              <w:right w:w="10" w:type="dxa"/>
            </w:tcMar>
            <w:vAlign w:val="center"/>
          </w:tcPr>
          <w:p w14:paraId="0162F72C">
            <w:pPr>
              <w:widowControl/>
              <w:spacing w:line="360" w:lineRule="auto"/>
              <w:jc w:val="center"/>
              <w:rPr>
                <w:rFonts w:hint="eastAsia" w:ascii="宋体" w:hAnsi="宋体" w:cs="宋体"/>
                <w:kern w:val="0"/>
                <w:szCs w:val="21"/>
              </w:rPr>
            </w:pPr>
          </w:p>
        </w:tc>
      </w:tr>
    </w:tbl>
    <w:p w14:paraId="0BC7054B">
      <w:pPr>
        <w:widowControl/>
        <w:shd w:val="clear" w:color="auto" w:fill="FFFFFF"/>
        <w:spacing w:line="360" w:lineRule="auto"/>
        <w:jc w:val="left"/>
        <w:rPr>
          <w:rFonts w:hint="eastAsia" w:ascii="宋体" w:hAnsi="宋体" w:cs="宋体"/>
          <w:kern w:val="0"/>
          <w:szCs w:val="21"/>
        </w:rPr>
      </w:pPr>
      <w:r>
        <w:rPr>
          <w:rFonts w:hint="eastAsia" w:ascii="宋体" w:hAnsi="宋体" w:cs="宋体"/>
          <w:kern w:val="0"/>
          <w:szCs w:val="21"/>
        </w:rPr>
        <w:t>说明：投标文件采购需求部分内容响应存在</w:t>
      </w:r>
      <w:r>
        <w:rPr>
          <w:rFonts w:hint="eastAsia" w:ascii="宋体" w:hAnsi="宋体" w:cs="宋体"/>
          <w:kern w:val="0"/>
          <w:szCs w:val="21"/>
          <w:lang w:val="en-US" w:eastAsia="zh-CN"/>
        </w:rPr>
        <w:t>无偏离或</w:t>
      </w:r>
      <w:r>
        <w:rPr>
          <w:rFonts w:hint="eastAsia" w:ascii="宋体" w:hAnsi="宋体" w:cs="宋体"/>
          <w:kern w:val="0"/>
          <w:szCs w:val="21"/>
        </w:rPr>
        <w:t>正偏离或负偏离的，请在本表中逐条列出。未列出的，视为响应招标文件要求。如果行数不够，请自行增加。</w:t>
      </w:r>
    </w:p>
    <w:p w14:paraId="50F46E46">
      <w:pPr>
        <w:widowControl/>
        <w:shd w:val="clear" w:color="auto" w:fill="FFFFFF"/>
        <w:spacing w:line="360" w:lineRule="auto"/>
        <w:jc w:val="left"/>
        <w:rPr>
          <w:rFonts w:hint="eastAsia" w:ascii="宋体" w:hAnsi="宋体" w:cs="宋体"/>
          <w:kern w:val="0"/>
          <w:szCs w:val="21"/>
        </w:rPr>
      </w:pPr>
    </w:p>
    <w:p w14:paraId="502CF7AE">
      <w:pPr>
        <w:widowControl/>
        <w:shd w:val="clear" w:color="auto" w:fill="FFFFFF"/>
        <w:spacing w:line="360" w:lineRule="auto"/>
        <w:jc w:val="left"/>
        <w:rPr>
          <w:rFonts w:hint="eastAsia" w:ascii="宋体" w:hAnsi="宋体" w:cs="宋体"/>
          <w:kern w:val="0"/>
          <w:szCs w:val="21"/>
        </w:rPr>
      </w:pPr>
    </w:p>
    <w:p w14:paraId="06AE07C6">
      <w:pPr>
        <w:widowControl/>
        <w:shd w:val="clear" w:color="auto" w:fill="FFFFFF"/>
        <w:spacing w:line="360" w:lineRule="auto"/>
        <w:jc w:val="left"/>
        <w:rPr>
          <w:rFonts w:hint="eastAsia" w:ascii="宋体" w:hAnsi="宋体" w:cs="宋体"/>
          <w:kern w:val="0"/>
          <w:szCs w:val="21"/>
        </w:rPr>
      </w:pPr>
    </w:p>
    <w:p w14:paraId="465FC8AF">
      <w:pPr>
        <w:widowControl/>
        <w:shd w:val="clear" w:color="auto" w:fill="FFFFFF"/>
        <w:spacing w:line="360" w:lineRule="auto"/>
        <w:jc w:val="left"/>
        <w:rPr>
          <w:rFonts w:hint="eastAsia" w:ascii="宋体" w:hAnsi="宋体" w:cs="宋体"/>
          <w:kern w:val="0"/>
          <w:szCs w:val="21"/>
        </w:rPr>
      </w:pPr>
      <w:r>
        <w:rPr>
          <w:rFonts w:hint="eastAsia" w:ascii="宋体" w:hAnsi="宋体" w:cs="宋体"/>
          <w:kern w:val="0"/>
          <w:szCs w:val="21"/>
        </w:rPr>
        <w:t>投标单位（加盖电子公章）：</w:t>
      </w:r>
      <w:r>
        <w:rPr>
          <w:rFonts w:hint="eastAsia" w:ascii="宋体" w:hAnsi="宋体" w:cs="宋体"/>
          <w:kern w:val="0"/>
          <w:szCs w:val="21"/>
          <w:u w:val="single"/>
        </w:rPr>
        <w:t>                             </w:t>
      </w:r>
    </w:p>
    <w:p w14:paraId="4EDB262A">
      <w:pPr>
        <w:widowControl/>
        <w:shd w:val="clear" w:color="auto" w:fill="FFFFFF"/>
        <w:spacing w:line="360" w:lineRule="auto"/>
        <w:jc w:val="left"/>
        <w:rPr>
          <w:rFonts w:hint="eastAsia" w:ascii="宋体" w:hAnsi="宋体" w:cs="宋体"/>
          <w:kern w:val="0"/>
          <w:szCs w:val="21"/>
        </w:rPr>
      </w:pPr>
    </w:p>
    <w:p w14:paraId="693AE52D">
      <w:pPr>
        <w:widowControl/>
        <w:shd w:val="clear" w:color="auto" w:fill="FFFFFF"/>
        <w:spacing w:line="360" w:lineRule="auto"/>
        <w:jc w:val="left"/>
        <w:rPr>
          <w:rFonts w:hint="eastAsia" w:ascii="宋体" w:hAnsi="宋体" w:cs="宋体"/>
          <w:kern w:val="0"/>
          <w:szCs w:val="21"/>
        </w:rPr>
      </w:pPr>
      <w:r>
        <w:rPr>
          <w:rFonts w:hint="eastAsia" w:ascii="宋体" w:hAnsi="宋体" w:cs="宋体"/>
          <w:kern w:val="0"/>
          <w:szCs w:val="21"/>
        </w:rPr>
        <w:t> </w:t>
      </w:r>
    </w:p>
    <w:p w14:paraId="6619CC7A">
      <w:pPr>
        <w:widowControl/>
        <w:shd w:val="clear" w:color="auto" w:fill="FFFFFF"/>
        <w:spacing w:line="360" w:lineRule="auto"/>
        <w:jc w:val="left"/>
        <w:rPr>
          <w:rFonts w:hint="eastAsia" w:ascii="宋体" w:hAnsi="宋体" w:cs="宋体"/>
          <w:kern w:val="0"/>
          <w:szCs w:val="21"/>
        </w:rPr>
      </w:pPr>
      <w:r>
        <w:rPr>
          <w:rFonts w:hint="eastAsia" w:ascii="宋体" w:hAnsi="宋体" w:cs="宋体"/>
          <w:kern w:val="0"/>
          <w:szCs w:val="21"/>
        </w:rPr>
        <w:t> </w:t>
      </w:r>
    </w:p>
    <w:p w14:paraId="3D775FAF">
      <w:pPr>
        <w:widowControl/>
        <w:shd w:val="clear" w:color="auto" w:fill="FFFFFF"/>
        <w:spacing w:line="360" w:lineRule="auto"/>
        <w:jc w:val="left"/>
        <w:rPr>
          <w:rFonts w:hint="eastAsia" w:ascii="宋体" w:hAnsi="宋体" w:cs="宋体"/>
          <w:kern w:val="0"/>
          <w:szCs w:val="21"/>
        </w:rPr>
      </w:pPr>
    </w:p>
    <w:p w14:paraId="3DC3F594">
      <w:pPr>
        <w:widowControl/>
        <w:shd w:val="clear" w:color="auto" w:fill="FFFFFF"/>
        <w:spacing w:line="360" w:lineRule="auto"/>
        <w:jc w:val="left"/>
        <w:rPr>
          <w:rFonts w:hint="eastAsia" w:ascii="宋体" w:hAnsi="宋体" w:cs="宋体"/>
          <w:b/>
          <w:szCs w:val="21"/>
          <w:lang w:val="zh-CN"/>
        </w:rPr>
      </w:pPr>
      <w:r>
        <w:rPr>
          <w:rFonts w:hint="eastAsia" w:ascii="宋体" w:hAnsi="宋体" w:cs="宋体"/>
          <w:b/>
          <w:bCs/>
          <w:kern w:val="0"/>
          <w:szCs w:val="21"/>
        </w:rPr>
        <w:br w:type="page"/>
      </w:r>
      <w:r>
        <w:rPr>
          <w:rFonts w:hint="eastAsia" w:ascii="宋体" w:hAnsi="宋体" w:cs="宋体"/>
          <w:b/>
          <w:bCs/>
          <w:kern w:val="0"/>
          <w:szCs w:val="21"/>
        </w:rPr>
        <w:t>附件七、</w:t>
      </w:r>
      <w:r>
        <w:rPr>
          <w:rFonts w:hint="eastAsia" w:ascii="宋体" w:hAnsi="宋体" w:cs="宋体"/>
          <w:b/>
          <w:szCs w:val="21"/>
          <w:lang w:val="zh-CN"/>
        </w:rPr>
        <w:t>技术说明与服务方案</w:t>
      </w:r>
    </w:p>
    <w:p w14:paraId="5D6AC40A">
      <w:pPr>
        <w:widowControl/>
        <w:shd w:val="clear" w:color="auto" w:fill="FFFFFF"/>
        <w:spacing w:line="360" w:lineRule="auto"/>
        <w:jc w:val="left"/>
        <w:rPr>
          <w:rFonts w:hint="eastAsia" w:ascii="宋体" w:hAnsi="宋体" w:cs="宋体"/>
          <w:b/>
          <w:szCs w:val="21"/>
          <w:lang w:val="zh-CN"/>
        </w:rPr>
      </w:pPr>
    </w:p>
    <w:p w14:paraId="6785324D">
      <w:pPr>
        <w:pStyle w:val="191"/>
        <w:snapToGrid w:val="0"/>
        <w:spacing w:before="0" w:after="0"/>
        <w:ind w:firstLine="0"/>
        <w:rPr>
          <w:rFonts w:hint="eastAsia" w:ascii="宋体" w:hAnsi="宋体" w:cs="宋体"/>
          <w:kern w:val="2"/>
          <w:sz w:val="21"/>
          <w:szCs w:val="21"/>
        </w:rPr>
      </w:pPr>
      <w:r>
        <w:rPr>
          <w:rFonts w:hint="eastAsia" w:ascii="宋体" w:hAnsi="宋体" w:cs="宋体"/>
          <w:kern w:val="2"/>
          <w:sz w:val="21"/>
          <w:szCs w:val="21"/>
        </w:rPr>
        <w:t>技术方案及服务承诺应根据</w:t>
      </w:r>
      <w:r>
        <w:rPr>
          <w:rFonts w:hint="eastAsia" w:ascii="宋体" w:hAnsi="宋体" w:cs="宋体"/>
          <w:kern w:val="2"/>
          <w:sz w:val="21"/>
          <w:szCs w:val="21"/>
          <w:lang w:val="en-US" w:eastAsia="zh-CN"/>
        </w:rPr>
        <w:t>采购</w:t>
      </w:r>
      <w:r>
        <w:rPr>
          <w:rFonts w:hint="eastAsia" w:ascii="宋体" w:hAnsi="宋体" w:cs="宋体"/>
          <w:kern w:val="2"/>
          <w:sz w:val="21"/>
          <w:szCs w:val="21"/>
        </w:rPr>
        <w:t>人对项目的要求、评标标准的要求及项目本身的特点编写。</w:t>
      </w:r>
    </w:p>
    <w:p w14:paraId="10AE6769">
      <w:pPr>
        <w:widowControl/>
        <w:shd w:val="clear" w:color="auto" w:fill="FFFFFF"/>
        <w:spacing w:line="360" w:lineRule="auto"/>
        <w:jc w:val="left"/>
        <w:rPr>
          <w:rFonts w:hint="eastAsia" w:ascii="宋体" w:hAnsi="宋体" w:cs="宋体"/>
          <w:b/>
          <w:bCs/>
          <w:kern w:val="0"/>
          <w:szCs w:val="21"/>
        </w:rPr>
      </w:pPr>
      <w:r>
        <w:rPr>
          <w:rFonts w:hint="eastAsia" w:ascii="宋体" w:hAnsi="宋体" w:cs="宋体"/>
          <w:b/>
          <w:bCs/>
          <w:kern w:val="0"/>
          <w:szCs w:val="21"/>
        </w:rPr>
        <w:t> </w:t>
      </w:r>
    </w:p>
    <w:p w14:paraId="30110B97">
      <w:pPr>
        <w:widowControl/>
        <w:adjustRightInd w:val="0"/>
        <w:spacing w:line="460" w:lineRule="atLeast"/>
        <w:rPr>
          <w:rFonts w:hint="eastAsia" w:ascii="宋体" w:hAnsi="宋体" w:cs="宋体"/>
          <w:b/>
          <w:bCs/>
          <w:kern w:val="0"/>
          <w:sz w:val="24"/>
        </w:rPr>
      </w:pPr>
      <w:r>
        <w:rPr>
          <w:rFonts w:hint="eastAsia" w:ascii="宋体" w:hAnsi="宋体" w:cs="宋体"/>
        </w:rPr>
        <w:br w:type="page"/>
      </w:r>
      <w:r>
        <w:rPr>
          <w:rFonts w:hint="eastAsia" w:ascii="宋体" w:hAnsi="宋体" w:cs="宋体"/>
          <w:b/>
          <w:bCs/>
          <w:kern w:val="0"/>
          <w:sz w:val="24"/>
        </w:rPr>
        <w:t>附件八、拟参与本项目服务人员一览表</w:t>
      </w:r>
    </w:p>
    <w:p w14:paraId="1709BE86">
      <w:pPr>
        <w:widowControl/>
        <w:adjustRightInd w:val="0"/>
        <w:spacing w:line="460" w:lineRule="atLeast"/>
        <w:rPr>
          <w:rFonts w:hint="eastAsia" w:ascii="宋体" w:hAnsi="宋体" w:cs="宋体"/>
          <w:b/>
          <w:bCs/>
          <w:kern w:val="0"/>
          <w:sz w:val="24"/>
        </w:rPr>
      </w:pPr>
    </w:p>
    <w:p w14:paraId="43604644">
      <w:pPr>
        <w:widowControl/>
        <w:adjustRightInd w:val="0"/>
        <w:jc w:val="center"/>
        <w:rPr>
          <w:rFonts w:hint="eastAsia" w:ascii="宋体" w:hAnsi="宋体" w:cs="宋体"/>
          <w:b/>
          <w:bCs/>
          <w:kern w:val="0"/>
          <w:sz w:val="24"/>
        </w:rPr>
      </w:pPr>
      <w:r>
        <w:rPr>
          <w:rFonts w:hint="eastAsia" w:ascii="宋体" w:hAnsi="宋体" w:cs="宋体"/>
          <w:b/>
          <w:bCs/>
          <w:kern w:val="0"/>
          <w:sz w:val="24"/>
        </w:rPr>
        <w:t>拟参与本项目服务人员一览表</w:t>
      </w:r>
    </w:p>
    <w:p w14:paraId="4468B81E">
      <w:pPr>
        <w:widowControl/>
        <w:adjustRightInd w:val="0"/>
        <w:jc w:val="center"/>
        <w:rPr>
          <w:rFonts w:hint="eastAsia" w:ascii="宋体" w:hAnsi="宋体" w:cs="宋体"/>
          <w:b/>
          <w:bCs/>
          <w:kern w:val="0"/>
          <w:sz w:val="24"/>
        </w:rPr>
      </w:pPr>
    </w:p>
    <w:p w14:paraId="3E26F826">
      <w:pPr>
        <w:widowControl/>
        <w:adjustRightInd w:val="0"/>
        <w:rPr>
          <w:rFonts w:hint="eastAsia" w:ascii="宋体" w:hAnsi="宋体" w:cs="宋体"/>
          <w:kern w:val="0"/>
          <w:szCs w:val="21"/>
        </w:rPr>
      </w:pPr>
      <w:r>
        <w:rPr>
          <w:rFonts w:hint="eastAsia" w:ascii="宋体" w:hAnsi="宋体" w:cs="宋体"/>
          <w:kern w:val="0"/>
          <w:szCs w:val="21"/>
        </w:rPr>
        <w:t>项目名称：                                 项目编号：</w:t>
      </w:r>
    </w:p>
    <w:tbl>
      <w:tblPr>
        <w:tblStyle w:val="46"/>
        <w:tblW w:w="9464" w:type="dxa"/>
        <w:jc w:val="center"/>
        <w:tblLayout w:type="fixed"/>
        <w:tblCellMar>
          <w:top w:w="0" w:type="dxa"/>
          <w:left w:w="108" w:type="dxa"/>
          <w:bottom w:w="0" w:type="dxa"/>
          <w:right w:w="108" w:type="dxa"/>
        </w:tblCellMar>
      </w:tblPr>
      <w:tblGrid>
        <w:gridCol w:w="534"/>
        <w:gridCol w:w="896"/>
        <w:gridCol w:w="663"/>
        <w:gridCol w:w="709"/>
        <w:gridCol w:w="1134"/>
        <w:gridCol w:w="931"/>
        <w:gridCol w:w="1020"/>
        <w:gridCol w:w="994"/>
        <w:gridCol w:w="882"/>
        <w:gridCol w:w="850"/>
        <w:gridCol w:w="851"/>
      </w:tblGrid>
      <w:tr w14:paraId="3E621D14">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vAlign w:val="center"/>
          </w:tcPr>
          <w:p w14:paraId="3674F7FB">
            <w:pPr>
              <w:widowControl/>
              <w:adjustRightInd w:val="0"/>
              <w:jc w:val="center"/>
              <w:rPr>
                <w:rFonts w:hint="eastAsia" w:ascii="宋体" w:hAnsi="宋体" w:cs="宋体"/>
                <w:b/>
                <w:bCs/>
                <w:kern w:val="0"/>
                <w:szCs w:val="21"/>
              </w:rPr>
            </w:pPr>
            <w:r>
              <w:rPr>
                <w:rFonts w:hint="eastAsia" w:ascii="宋体" w:hAnsi="宋体" w:cs="宋体"/>
                <w:b/>
                <w:bCs/>
                <w:kern w:val="0"/>
                <w:szCs w:val="21"/>
              </w:rPr>
              <w:t>序号</w:t>
            </w:r>
          </w:p>
        </w:tc>
        <w:tc>
          <w:tcPr>
            <w:tcW w:w="896" w:type="dxa"/>
            <w:tcBorders>
              <w:top w:val="single" w:color="000000" w:sz="4" w:space="0"/>
              <w:left w:val="nil"/>
              <w:bottom w:val="single" w:color="000000" w:sz="4" w:space="0"/>
              <w:right w:val="single" w:color="000000" w:sz="4" w:space="0"/>
            </w:tcBorders>
            <w:vAlign w:val="center"/>
          </w:tcPr>
          <w:p w14:paraId="39A81773">
            <w:pPr>
              <w:widowControl/>
              <w:adjustRightInd w:val="0"/>
              <w:jc w:val="center"/>
              <w:rPr>
                <w:rFonts w:hint="eastAsia" w:ascii="宋体" w:hAnsi="宋体" w:cs="宋体"/>
                <w:b/>
                <w:bCs/>
                <w:kern w:val="0"/>
                <w:szCs w:val="21"/>
              </w:rPr>
            </w:pPr>
            <w:r>
              <w:rPr>
                <w:rFonts w:hint="eastAsia" w:ascii="宋体" w:hAnsi="宋体" w:cs="宋体"/>
                <w:b/>
                <w:bCs/>
                <w:kern w:val="0"/>
                <w:szCs w:val="21"/>
              </w:rPr>
              <w:t>姓名</w:t>
            </w:r>
          </w:p>
        </w:tc>
        <w:tc>
          <w:tcPr>
            <w:tcW w:w="663" w:type="dxa"/>
            <w:tcBorders>
              <w:top w:val="single" w:color="000000" w:sz="4" w:space="0"/>
              <w:left w:val="nil"/>
              <w:bottom w:val="single" w:color="000000" w:sz="4" w:space="0"/>
              <w:right w:val="single" w:color="000000" w:sz="4" w:space="0"/>
            </w:tcBorders>
            <w:vAlign w:val="center"/>
          </w:tcPr>
          <w:p w14:paraId="54BD9FB6">
            <w:pPr>
              <w:widowControl/>
              <w:adjustRightInd w:val="0"/>
              <w:jc w:val="center"/>
              <w:rPr>
                <w:rFonts w:hint="eastAsia" w:ascii="宋体" w:hAnsi="宋体" w:cs="宋体"/>
                <w:b/>
                <w:bCs/>
                <w:kern w:val="0"/>
                <w:szCs w:val="21"/>
              </w:rPr>
            </w:pPr>
            <w:r>
              <w:rPr>
                <w:rFonts w:hint="eastAsia" w:ascii="宋体" w:hAnsi="宋体" w:cs="宋体"/>
                <w:b/>
                <w:bCs/>
                <w:kern w:val="0"/>
                <w:szCs w:val="21"/>
              </w:rPr>
              <w:t>性别</w:t>
            </w:r>
          </w:p>
        </w:tc>
        <w:tc>
          <w:tcPr>
            <w:tcW w:w="709" w:type="dxa"/>
            <w:tcBorders>
              <w:top w:val="single" w:color="000000" w:sz="4" w:space="0"/>
              <w:left w:val="nil"/>
              <w:bottom w:val="single" w:color="000000" w:sz="4" w:space="0"/>
              <w:right w:val="single" w:color="000000" w:sz="4" w:space="0"/>
            </w:tcBorders>
            <w:vAlign w:val="center"/>
          </w:tcPr>
          <w:p w14:paraId="2ABE3A4E">
            <w:pPr>
              <w:widowControl/>
              <w:adjustRightInd w:val="0"/>
              <w:jc w:val="center"/>
              <w:rPr>
                <w:rFonts w:hint="eastAsia" w:ascii="宋体" w:hAnsi="宋体" w:cs="宋体"/>
                <w:b/>
                <w:bCs/>
                <w:kern w:val="0"/>
                <w:szCs w:val="21"/>
              </w:rPr>
            </w:pPr>
            <w:r>
              <w:rPr>
                <w:rFonts w:hint="eastAsia" w:ascii="宋体" w:hAnsi="宋体" w:cs="宋体"/>
                <w:b/>
                <w:bCs/>
                <w:kern w:val="0"/>
                <w:szCs w:val="21"/>
              </w:rPr>
              <w:t>年龄</w:t>
            </w:r>
          </w:p>
        </w:tc>
        <w:tc>
          <w:tcPr>
            <w:tcW w:w="1134" w:type="dxa"/>
            <w:tcBorders>
              <w:top w:val="single" w:color="000000" w:sz="4" w:space="0"/>
              <w:left w:val="nil"/>
              <w:bottom w:val="single" w:color="000000" w:sz="4" w:space="0"/>
              <w:right w:val="single" w:color="000000" w:sz="4" w:space="0"/>
            </w:tcBorders>
            <w:vAlign w:val="center"/>
          </w:tcPr>
          <w:p w14:paraId="7B83B66A">
            <w:pPr>
              <w:widowControl/>
              <w:adjustRightInd w:val="0"/>
              <w:jc w:val="center"/>
              <w:rPr>
                <w:rFonts w:hint="eastAsia" w:ascii="宋体" w:hAnsi="宋体" w:cs="宋体"/>
                <w:b/>
                <w:bCs/>
                <w:kern w:val="0"/>
                <w:szCs w:val="21"/>
              </w:rPr>
            </w:pPr>
            <w:r>
              <w:rPr>
                <w:rFonts w:hint="eastAsia" w:ascii="宋体" w:hAnsi="宋体" w:cs="宋体"/>
                <w:b/>
                <w:bCs/>
                <w:kern w:val="0"/>
                <w:szCs w:val="21"/>
              </w:rPr>
              <w:t>专业</w:t>
            </w:r>
          </w:p>
        </w:tc>
        <w:tc>
          <w:tcPr>
            <w:tcW w:w="931" w:type="dxa"/>
            <w:tcBorders>
              <w:top w:val="single" w:color="000000" w:sz="4" w:space="0"/>
              <w:left w:val="nil"/>
              <w:bottom w:val="single" w:color="000000" w:sz="4" w:space="0"/>
              <w:right w:val="single" w:color="000000" w:sz="4" w:space="0"/>
            </w:tcBorders>
            <w:vAlign w:val="center"/>
          </w:tcPr>
          <w:p w14:paraId="53CC074F">
            <w:pPr>
              <w:widowControl/>
              <w:adjustRightInd w:val="0"/>
              <w:jc w:val="center"/>
              <w:rPr>
                <w:rFonts w:hint="eastAsia" w:ascii="宋体" w:hAnsi="宋体" w:cs="宋体"/>
                <w:b/>
                <w:bCs/>
                <w:kern w:val="0"/>
                <w:szCs w:val="21"/>
              </w:rPr>
            </w:pPr>
            <w:r>
              <w:rPr>
                <w:rFonts w:hint="eastAsia" w:ascii="宋体" w:hAnsi="宋体" w:cs="宋体"/>
                <w:b/>
                <w:bCs/>
                <w:kern w:val="0"/>
                <w:szCs w:val="21"/>
              </w:rPr>
              <w:t>学历</w:t>
            </w:r>
          </w:p>
        </w:tc>
        <w:tc>
          <w:tcPr>
            <w:tcW w:w="1020" w:type="dxa"/>
            <w:tcBorders>
              <w:top w:val="single" w:color="000000" w:sz="4" w:space="0"/>
              <w:left w:val="nil"/>
              <w:bottom w:val="single" w:color="000000" w:sz="4" w:space="0"/>
              <w:right w:val="single" w:color="000000" w:sz="4" w:space="0"/>
            </w:tcBorders>
            <w:vAlign w:val="center"/>
          </w:tcPr>
          <w:p w14:paraId="674AA2D1">
            <w:pPr>
              <w:widowControl/>
              <w:adjustRightInd w:val="0"/>
              <w:jc w:val="center"/>
              <w:rPr>
                <w:rFonts w:hint="eastAsia" w:ascii="宋体" w:hAnsi="宋体" w:cs="宋体"/>
                <w:b/>
                <w:bCs/>
                <w:kern w:val="0"/>
                <w:szCs w:val="21"/>
              </w:rPr>
            </w:pPr>
            <w:r>
              <w:rPr>
                <w:rFonts w:hint="eastAsia" w:ascii="宋体" w:hAnsi="宋体" w:cs="宋体"/>
                <w:b/>
                <w:bCs/>
                <w:kern w:val="0"/>
                <w:szCs w:val="21"/>
              </w:rPr>
              <w:t>执业</w:t>
            </w:r>
          </w:p>
          <w:p w14:paraId="3B8425C0">
            <w:pPr>
              <w:widowControl/>
              <w:adjustRightInd w:val="0"/>
              <w:jc w:val="center"/>
              <w:rPr>
                <w:rFonts w:hint="eastAsia" w:ascii="宋体" w:hAnsi="宋体" w:cs="宋体"/>
                <w:b/>
                <w:bCs/>
                <w:kern w:val="0"/>
                <w:szCs w:val="21"/>
              </w:rPr>
            </w:pPr>
            <w:r>
              <w:rPr>
                <w:rFonts w:hint="eastAsia" w:ascii="宋体" w:hAnsi="宋体" w:cs="宋体"/>
                <w:b/>
                <w:bCs/>
                <w:kern w:val="0"/>
                <w:szCs w:val="21"/>
              </w:rPr>
              <w:t>资格</w:t>
            </w:r>
          </w:p>
        </w:tc>
        <w:tc>
          <w:tcPr>
            <w:tcW w:w="994" w:type="dxa"/>
            <w:tcBorders>
              <w:top w:val="single" w:color="000000" w:sz="4" w:space="0"/>
              <w:left w:val="nil"/>
              <w:bottom w:val="single" w:color="000000" w:sz="4" w:space="0"/>
              <w:right w:val="single" w:color="000000" w:sz="4" w:space="0"/>
            </w:tcBorders>
            <w:vAlign w:val="center"/>
          </w:tcPr>
          <w:p w14:paraId="42C9F90C">
            <w:pPr>
              <w:widowControl/>
              <w:adjustRightInd w:val="0"/>
              <w:jc w:val="center"/>
              <w:rPr>
                <w:rFonts w:hint="eastAsia" w:ascii="宋体" w:hAnsi="宋体" w:cs="宋体"/>
                <w:b/>
                <w:bCs/>
                <w:kern w:val="0"/>
                <w:szCs w:val="21"/>
              </w:rPr>
            </w:pPr>
            <w:r>
              <w:rPr>
                <w:rFonts w:hint="eastAsia" w:ascii="宋体" w:hAnsi="宋体" w:cs="宋体"/>
                <w:b/>
                <w:bCs/>
                <w:kern w:val="0"/>
                <w:szCs w:val="21"/>
              </w:rPr>
              <w:t>证书号</w:t>
            </w:r>
          </w:p>
        </w:tc>
        <w:tc>
          <w:tcPr>
            <w:tcW w:w="882" w:type="dxa"/>
            <w:tcBorders>
              <w:top w:val="single" w:color="000000" w:sz="4" w:space="0"/>
              <w:left w:val="nil"/>
              <w:bottom w:val="single" w:color="000000" w:sz="4" w:space="0"/>
              <w:right w:val="single" w:color="000000" w:sz="4" w:space="0"/>
            </w:tcBorders>
            <w:vAlign w:val="center"/>
          </w:tcPr>
          <w:p w14:paraId="6F570D3D">
            <w:pPr>
              <w:widowControl/>
              <w:adjustRightInd w:val="0"/>
              <w:jc w:val="center"/>
              <w:rPr>
                <w:rFonts w:hint="eastAsia" w:ascii="宋体" w:hAnsi="宋体" w:cs="宋体"/>
                <w:b/>
                <w:bCs/>
                <w:kern w:val="0"/>
                <w:szCs w:val="21"/>
              </w:rPr>
            </w:pPr>
            <w:r>
              <w:rPr>
                <w:rFonts w:hint="eastAsia" w:ascii="宋体" w:hAnsi="宋体" w:cs="宋体"/>
                <w:b/>
                <w:bCs/>
                <w:kern w:val="0"/>
                <w:szCs w:val="21"/>
              </w:rPr>
              <w:t>技术职称</w:t>
            </w:r>
          </w:p>
        </w:tc>
        <w:tc>
          <w:tcPr>
            <w:tcW w:w="850" w:type="dxa"/>
            <w:tcBorders>
              <w:top w:val="single" w:color="000000" w:sz="4" w:space="0"/>
              <w:left w:val="nil"/>
              <w:bottom w:val="single" w:color="000000" w:sz="4" w:space="0"/>
              <w:right w:val="single" w:color="000000" w:sz="4" w:space="0"/>
            </w:tcBorders>
            <w:vAlign w:val="center"/>
          </w:tcPr>
          <w:p w14:paraId="06C7A88A">
            <w:pPr>
              <w:widowControl/>
              <w:adjustRightInd w:val="0"/>
              <w:jc w:val="center"/>
              <w:rPr>
                <w:rFonts w:hint="eastAsia" w:ascii="宋体" w:hAnsi="宋体" w:cs="宋体"/>
                <w:b/>
                <w:bCs/>
                <w:kern w:val="0"/>
                <w:szCs w:val="21"/>
              </w:rPr>
            </w:pPr>
            <w:r>
              <w:rPr>
                <w:rFonts w:hint="eastAsia" w:ascii="宋体" w:hAnsi="宋体" w:cs="宋体"/>
                <w:b/>
                <w:bCs/>
                <w:kern w:val="0"/>
                <w:szCs w:val="21"/>
              </w:rPr>
              <w:t>相关工作年限</w:t>
            </w:r>
          </w:p>
        </w:tc>
        <w:tc>
          <w:tcPr>
            <w:tcW w:w="851" w:type="dxa"/>
            <w:tcBorders>
              <w:top w:val="single" w:color="000000" w:sz="4" w:space="0"/>
              <w:left w:val="nil"/>
              <w:bottom w:val="single" w:color="000000" w:sz="4" w:space="0"/>
              <w:right w:val="single" w:color="000000" w:sz="4" w:space="0"/>
            </w:tcBorders>
            <w:vAlign w:val="center"/>
          </w:tcPr>
          <w:p w14:paraId="6A07C676">
            <w:pPr>
              <w:widowControl/>
              <w:adjustRightInd w:val="0"/>
              <w:jc w:val="center"/>
              <w:rPr>
                <w:rFonts w:hint="eastAsia" w:ascii="宋体" w:hAnsi="宋体" w:cs="宋体"/>
                <w:b/>
                <w:bCs/>
                <w:kern w:val="0"/>
                <w:szCs w:val="21"/>
              </w:rPr>
            </w:pPr>
            <w:r>
              <w:rPr>
                <w:rFonts w:hint="eastAsia" w:ascii="宋体" w:hAnsi="宋体" w:cs="宋体"/>
                <w:b/>
                <w:bCs/>
                <w:kern w:val="0"/>
                <w:szCs w:val="21"/>
              </w:rPr>
              <w:t>备注</w:t>
            </w:r>
          </w:p>
        </w:tc>
      </w:tr>
      <w:tr w14:paraId="2584E6E6">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704944DE">
            <w:pPr>
              <w:widowControl/>
              <w:adjustRightInd w:val="0"/>
              <w:rPr>
                <w:rFonts w:hint="eastAsia" w:ascii="宋体" w:hAnsi="宋体" w:cs="宋体"/>
                <w:kern w:val="0"/>
                <w:szCs w:val="21"/>
              </w:rPr>
            </w:pPr>
          </w:p>
        </w:tc>
        <w:tc>
          <w:tcPr>
            <w:tcW w:w="896" w:type="dxa"/>
            <w:tcBorders>
              <w:top w:val="single" w:color="000000" w:sz="4" w:space="0"/>
              <w:left w:val="nil"/>
              <w:bottom w:val="single" w:color="000000" w:sz="4" w:space="0"/>
              <w:right w:val="single" w:color="000000" w:sz="4" w:space="0"/>
            </w:tcBorders>
          </w:tcPr>
          <w:p w14:paraId="00DE7FB0">
            <w:pPr>
              <w:widowControl/>
              <w:adjustRightInd w:val="0"/>
              <w:rPr>
                <w:rFonts w:hint="eastAsia" w:ascii="宋体" w:hAnsi="宋体" w:cs="宋体"/>
                <w:kern w:val="0"/>
                <w:szCs w:val="21"/>
              </w:rPr>
            </w:pPr>
          </w:p>
        </w:tc>
        <w:tc>
          <w:tcPr>
            <w:tcW w:w="663" w:type="dxa"/>
            <w:tcBorders>
              <w:top w:val="single" w:color="000000" w:sz="4" w:space="0"/>
              <w:left w:val="nil"/>
              <w:bottom w:val="single" w:color="000000" w:sz="4" w:space="0"/>
              <w:right w:val="single" w:color="000000" w:sz="4" w:space="0"/>
            </w:tcBorders>
          </w:tcPr>
          <w:p w14:paraId="5494213C">
            <w:pPr>
              <w:widowControl/>
              <w:adjustRightInd w:val="0"/>
              <w:rPr>
                <w:rFonts w:hint="eastAsia" w:ascii="宋体" w:hAnsi="宋体" w:cs="宋体"/>
                <w:kern w:val="0"/>
                <w:szCs w:val="21"/>
              </w:rPr>
            </w:pPr>
          </w:p>
        </w:tc>
        <w:tc>
          <w:tcPr>
            <w:tcW w:w="709" w:type="dxa"/>
            <w:tcBorders>
              <w:top w:val="single" w:color="000000" w:sz="4" w:space="0"/>
              <w:left w:val="nil"/>
              <w:bottom w:val="single" w:color="000000" w:sz="4" w:space="0"/>
              <w:right w:val="single" w:color="000000" w:sz="4" w:space="0"/>
            </w:tcBorders>
          </w:tcPr>
          <w:p w14:paraId="579DCE0A">
            <w:pPr>
              <w:widowControl/>
              <w:adjustRightInd w:val="0"/>
              <w:rPr>
                <w:rFonts w:hint="eastAsia" w:ascii="宋体" w:hAnsi="宋体" w:cs="宋体"/>
                <w:kern w:val="0"/>
                <w:szCs w:val="21"/>
              </w:rPr>
            </w:pPr>
          </w:p>
        </w:tc>
        <w:tc>
          <w:tcPr>
            <w:tcW w:w="1134" w:type="dxa"/>
            <w:tcBorders>
              <w:top w:val="single" w:color="000000" w:sz="4" w:space="0"/>
              <w:left w:val="nil"/>
              <w:bottom w:val="single" w:color="000000" w:sz="4" w:space="0"/>
              <w:right w:val="single" w:color="000000" w:sz="4" w:space="0"/>
            </w:tcBorders>
          </w:tcPr>
          <w:p w14:paraId="33E1C808">
            <w:pPr>
              <w:widowControl/>
              <w:adjustRightInd w:val="0"/>
              <w:rPr>
                <w:rFonts w:hint="eastAsia" w:ascii="宋体" w:hAnsi="宋体" w:cs="宋体"/>
                <w:kern w:val="0"/>
                <w:szCs w:val="21"/>
              </w:rPr>
            </w:pPr>
          </w:p>
        </w:tc>
        <w:tc>
          <w:tcPr>
            <w:tcW w:w="931" w:type="dxa"/>
            <w:tcBorders>
              <w:top w:val="single" w:color="000000" w:sz="4" w:space="0"/>
              <w:left w:val="nil"/>
              <w:bottom w:val="single" w:color="000000" w:sz="4" w:space="0"/>
              <w:right w:val="single" w:color="000000" w:sz="4" w:space="0"/>
            </w:tcBorders>
          </w:tcPr>
          <w:p w14:paraId="12954CF2">
            <w:pPr>
              <w:widowControl/>
              <w:adjustRightInd w:val="0"/>
              <w:rPr>
                <w:rFonts w:hint="eastAsia" w:ascii="宋体" w:hAnsi="宋体" w:cs="宋体"/>
                <w:kern w:val="0"/>
                <w:szCs w:val="21"/>
              </w:rPr>
            </w:pPr>
          </w:p>
        </w:tc>
        <w:tc>
          <w:tcPr>
            <w:tcW w:w="1020" w:type="dxa"/>
            <w:tcBorders>
              <w:top w:val="single" w:color="000000" w:sz="4" w:space="0"/>
              <w:left w:val="nil"/>
              <w:bottom w:val="single" w:color="000000" w:sz="4" w:space="0"/>
              <w:right w:val="single" w:color="000000" w:sz="4" w:space="0"/>
            </w:tcBorders>
          </w:tcPr>
          <w:p w14:paraId="6BEB11A2">
            <w:pPr>
              <w:widowControl/>
              <w:adjustRightInd w:val="0"/>
              <w:rPr>
                <w:rFonts w:hint="eastAsia" w:ascii="宋体" w:hAnsi="宋体" w:cs="宋体"/>
                <w:kern w:val="0"/>
                <w:szCs w:val="21"/>
              </w:rPr>
            </w:pPr>
          </w:p>
        </w:tc>
        <w:tc>
          <w:tcPr>
            <w:tcW w:w="994" w:type="dxa"/>
            <w:tcBorders>
              <w:top w:val="single" w:color="000000" w:sz="4" w:space="0"/>
              <w:left w:val="nil"/>
              <w:bottom w:val="single" w:color="000000" w:sz="4" w:space="0"/>
              <w:right w:val="single" w:color="000000" w:sz="4" w:space="0"/>
            </w:tcBorders>
          </w:tcPr>
          <w:p w14:paraId="4733D3A5">
            <w:pPr>
              <w:widowControl/>
              <w:adjustRightInd w:val="0"/>
              <w:rPr>
                <w:rFonts w:hint="eastAsia" w:ascii="宋体" w:hAnsi="宋体" w:cs="宋体"/>
                <w:kern w:val="0"/>
                <w:szCs w:val="21"/>
              </w:rPr>
            </w:pPr>
          </w:p>
        </w:tc>
        <w:tc>
          <w:tcPr>
            <w:tcW w:w="882" w:type="dxa"/>
            <w:tcBorders>
              <w:top w:val="single" w:color="000000" w:sz="4" w:space="0"/>
              <w:left w:val="nil"/>
              <w:bottom w:val="single" w:color="000000" w:sz="4" w:space="0"/>
              <w:right w:val="single" w:color="000000" w:sz="4" w:space="0"/>
            </w:tcBorders>
          </w:tcPr>
          <w:p w14:paraId="627E54B8">
            <w:pPr>
              <w:widowControl/>
              <w:adjustRightInd w:val="0"/>
              <w:rPr>
                <w:rFonts w:hint="eastAsia" w:ascii="宋体" w:hAnsi="宋体" w:cs="宋体"/>
                <w:kern w:val="0"/>
                <w:szCs w:val="21"/>
              </w:rPr>
            </w:pPr>
          </w:p>
        </w:tc>
        <w:tc>
          <w:tcPr>
            <w:tcW w:w="850" w:type="dxa"/>
            <w:tcBorders>
              <w:top w:val="single" w:color="000000" w:sz="4" w:space="0"/>
              <w:left w:val="nil"/>
              <w:bottom w:val="single" w:color="000000" w:sz="4" w:space="0"/>
              <w:right w:val="single" w:color="000000" w:sz="4" w:space="0"/>
            </w:tcBorders>
          </w:tcPr>
          <w:p w14:paraId="2C4A7FB0">
            <w:pPr>
              <w:widowControl/>
              <w:adjustRightInd w:val="0"/>
              <w:rPr>
                <w:rFonts w:hint="eastAsia" w:ascii="宋体" w:hAnsi="宋体" w:cs="宋体"/>
                <w:kern w:val="0"/>
                <w:szCs w:val="21"/>
              </w:rPr>
            </w:pPr>
          </w:p>
        </w:tc>
        <w:tc>
          <w:tcPr>
            <w:tcW w:w="851" w:type="dxa"/>
            <w:tcBorders>
              <w:top w:val="single" w:color="000000" w:sz="4" w:space="0"/>
              <w:left w:val="nil"/>
              <w:bottom w:val="single" w:color="000000" w:sz="4" w:space="0"/>
              <w:right w:val="single" w:color="000000" w:sz="4" w:space="0"/>
            </w:tcBorders>
          </w:tcPr>
          <w:p w14:paraId="2AA9F129">
            <w:pPr>
              <w:widowControl/>
              <w:adjustRightInd w:val="0"/>
              <w:rPr>
                <w:rFonts w:hint="eastAsia" w:ascii="宋体" w:hAnsi="宋体" w:cs="宋体"/>
                <w:kern w:val="0"/>
                <w:szCs w:val="21"/>
              </w:rPr>
            </w:pPr>
          </w:p>
        </w:tc>
      </w:tr>
      <w:tr w14:paraId="7881DB57">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7473BB48">
            <w:pPr>
              <w:widowControl/>
              <w:adjustRightInd w:val="0"/>
              <w:rPr>
                <w:rFonts w:hint="eastAsia" w:ascii="宋体" w:hAnsi="宋体" w:cs="宋体"/>
                <w:kern w:val="0"/>
                <w:szCs w:val="21"/>
              </w:rPr>
            </w:pPr>
          </w:p>
        </w:tc>
        <w:tc>
          <w:tcPr>
            <w:tcW w:w="896" w:type="dxa"/>
            <w:tcBorders>
              <w:top w:val="single" w:color="000000" w:sz="4" w:space="0"/>
              <w:left w:val="nil"/>
              <w:bottom w:val="single" w:color="000000" w:sz="4" w:space="0"/>
              <w:right w:val="single" w:color="000000" w:sz="4" w:space="0"/>
            </w:tcBorders>
          </w:tcPr>
          <w:p w14:paraId="5C5B239A">
            <w:pPr>
              <w:widowControl/>
              <w:adjustRightInd w:val="0"/>
              <w:rPr>
                <w:rFonts w:hint="eastAsia" w:ascii="宋体" w:hAnsi="宋体" w:cs="宋体"/>
                <w:kern w:val="0"/>
                <w:szCs w:val="21"/>
              </w:rPr>
            </w:pPr>
          </w:p>
        </w:tc>
        <w:tc>
          <w:tcPr>
            <w:tcW w:w="663" w:type="dxa"/>
            <w:tcBorders>
              <w:top w:val="single" w:color="000000" w:sz="4" w:space="0"/>
              <w:left w:val="nil"/>
              <w:bottom w:val="single" w:color="000000" w:sz="4" w:space="0"/>
              <w:right w:val="single" w:color="000000" w:sz="4" w:space="0"/>
            </w:tcBorders>
          </w:tcPr>
          <w:p w14:paraId="24BC4589">
            <w:pPr>
              <w:widowControl/>
              <w:adjustRightInd w:val="0"/>
              <w:rPr>
                <w:rFonts w:hint="eastAsia" w:ascii="宋体" w:hAnsi="宋体" w:cs="宋体"/>
                <w:kern w:val="0"/>
                <w:szCs w:val="21"/>
              </w:rPr>
            </w:pPr>
          </w:p>
        </w:tc>
        <w:tc>
          <w:tcPr>
            <w:tcW w:w="709" w:type="dxa"/>
            <w:tcBorders>
              <w:top w:val="single" w:color="000000" w:sz="4" w:space="0"/>
              <w:left w:val="nil"/>
              <w:bottom w:val="single" w:color="000000" w:sz="4" w:space="0"/>
              <w:right w:val="single" w:color="000000" w:sz="4" w:space="0"/>
            </w:tcBorders>
          </w:tcPr>
          <w:p w14:paraId="5351C8FF">
            <w:pPr>
              <w:widowControl/>
              <w:adjustRightInd w:val="0"/>
              <w:rPr>
                <w:rFonts w:hint="eastAsia" w:ascii="宋体" w:hAnsi="宋体" w:cs="宋体"/>
                <w:kern w:val="0"/>
                <w:szCs w:val="21"/>
              </w:rPr>
            </w:pPr>
          </w:p>
        </w:tc>
        <w:tc>
          <w:tcPr>
            <w:tcW w:w="1134" w:type="dxa"/>
            <w:tcBorders>
              <w:top w:val="single" w:color="000000" w:sz="4" w:space="0"/>
              <w:left w:val="nil"/>
              <w:bottom w:val="single" w:color="000000" w:sz="4" w:space="0"/>
              <w:right w:val="single" w:color="000000" w:sz="4" w:space="0"/>
            </w:tcBorders>
          </w:tcPr>
          <w:p w14:paraId="2481DD05">
            <w:pPr>
              <w:widowControl/>
              <w:adjustRightInd w:val="0"/>
              <w:rPr>
                <w:rFonts w:hint="eastAsia" w:ascii="宋体" w:hAnsi="宋体" w:cs="宋体"/>
                <w:kern w:val="0"/>
                <w:szCs w:val="21"/>
              </w:rPr>
            </w:pPr>
          </w:p>
        </w:tc>
        <w:tc>
          <w:tcPr>
            <w:tcW w:w="931" w:type="dxa"/>
            <w:tcBorders>
              <w:top w:val="single" w:color="000000" w:sz="4" w:space="0"/>
              <w:left w:val="nil"/>
              <w:bottom w:val="single" w:color="000000" w:sz="4" w:space="0"/>
              <w:right w:val="single" w:color="000000" w:sz="4" w:space="0"/>
            </w:tcBorders>
          </w:tcPr>
          <w:p w14:paraId="67CE9F65">
            <w:pPr>
              <w:widowControl/>
              <w:adjustRightInd w:val="0"/>
              <w:rPr>
                <w:rFonts w:hint="eastAsia" w:ascii="宋体" w:hAnsi="宋体" w:cs="宋体"/>
                <w:kern w:val="0"/>
                <w:szCs w:val="21"/>
              </w:rPr>
            </w:pPr>
          </w:p>
        </w:tc>
        <w:tc>
          <w:tcPr>
            <w:tcW w:w="1020" w:type="dxa"/>
            <w:tcBorders>
              <w:top w:val="single" w:color="000000" w:sz="4" w:space="0"/>
              <w:left w:val="nil"/>
              <w:bottom w:val="single" w:color="000000" w:sz="4" w:space="0"/>
              <w:right w:val="single" w:color="000000" w:sz="4" w:space="0"/>
            </w:tcBorders>
          </w:tcPr>
          <w:p w14:paraId="2C10BFF1">
            <w:pPr>
              <w:widowControl/>
              <w:adjustRightInd w:val="0"/>
              <w:rPr>
                <w:rFonts w:hint="eastAsia" w:ascii="宋体" w:hAnsi="宋体" w:cs="宋体"/>
                <w:kern w:val="0"/>
                <w:szCs w:val="21"/>
              </w:rPr>
            </w:pPr>
          </w:p>
        </w:tc>
        <w:tc>
          <w:tcPr>
            <w:tcW w:w="994" w:type="dxa"/>
            <w:tcBorders>
              <w:top w:val="single" w:color="000000" w:sz="4" w:space="0"/>
              <w:left w:val="nil"/>
              <w:bottom w:val="single" w:color="000000" w:sz="4" w:space="0"/>
              <w:right w:val="single" w:color="000000" w:sz="4" w:space="0"/>
            </w:tcBorders>
          </w:tcPr>
          <w:p w14:paraId="2FE97B26">
            <w:pPr>
              <w:widowControl/>
              <w:adjustRightInd w:val="0"/>
              <w:rPr>
                <w:rFonts w:hint="eastAsia" w:ascii="宋体" w:hAnsi="宋体" w:cs="宋体"/>
                <w:kern w:val="0"/>
                <w:szCs w:val="21"/>
              </w:rPr>
            </w:pPr>
          </w:p>
        </w:tc>
        <w:tc>
          <w:tcPr>
            <w:tcW w:w="882" w:type="dxa"/>
            <w:tcBorders>
              <w:top w:val="single" w:color="000000" w:sz="4" w:space="0"/>
              <w:left w:val="nil"/>
              <w:bottom w:val="single" w:color="000000" w:sz="4" w:space="0"/>
              <w:right w:val="single" w:color="000000" w:sz="4" w:space="0"/>
            </w:tcBorders>
          </w:tcPr>
          <w:p w14:paraId="70C49CE4">
            <w:pPr>
              <w:widowControl/>
              <w:adjustRightInd w:val="0"/>
              <w:rPr>
                <w:rFonts w:hint="eastAsia" w:ascii="宋体" w:hAnsi="宋体" w:cs="宋体"/>
                <w:kern w:val="0"/>
                <w:szCs w:val="21"/>
              </w:rPr>
            </w:pPr>
          </w:p>
        </w:tc>
        <w:tc>
          <w:tcPr>
            <w:tcW w:w="850" w:type="dxa"/>
            <w:tcBorders>
              <w:top w:val="single" w:color="000000" w:sz="4" w:space="0"/>
              <w:left w:val="nil"/>
              <w:bottom w:val="single" w:color="000000" w:sz="4" w:space="0"/>
              <w:right w:val="single" w:color="000000" w:sz="4" w:space="0"/>
            </w:tcBorders>
          </w:tcPr>
          <w:p w14:paraId="157D4650">
            <w:pPr>
              <w:widowControl/>
              <w:adjustRightInd w:val="0"/>
              <w:rPr>
                <w:rFonts w:hint="eastAsia" w:ascii="宋体" w:hAnsi="宋体" w:cs="宋体"/>
                <w:kern w:val="0"/>
                <w:szCs w:val="21"/>
              </w:rPr>
            </w:pPr>
          </w:p>
        </w:tc>
        <w:tc>
          <w:tcPr>
            <w:tcW w:w="851" w:type="dxa"/>
            <w:tcBorders>
              <w:top w:val="single" w:color="000000" w:sz="4" w:space="0"/>
              <w:left w:val="nil"/>
              <w:bottom w:val="single" w:color="000000" w:sz="4" w:space="0"/>
              <w:right w:val="single" w:color="000000" w:sz="4" w:space="0"/>
            </w:tcBorders>
          </w:tcPr>
          <w:p w14:paraId="0583B5DA">
            <w:pPr>
              <w:widowControl/>
              <w:adjustRightInd w:val="0"/>
              <w:rPr>
                <w:rFonts w:hint="eastAsia" w:ascii="宋体" w:hAnsi="宋体" w:cs="宋体"/>
                <w:kern w:val="0"/>
                <w:szCs w:val="21"/>
              </w:rPr>
            </w:pPr>
          </w:p>
        </w:tc>
      </w:tr>
      <w:tr w14:paraId="0932BEA2">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3B5B1AF4">
            <w:pPr>
              <w:widowControl/>
              <w:adjustRightInd w:val="0"/>
              <w:rPr>
                <w:rFonts w:hint="eastAsia" w:ascii="宋体" w:hAnsi="宋体" w:cs="宋体"/>
                <w:kern w:val="0"/>
                <w:szCs w:val="21"/>
              </w:rPr>
            </w:pPr>
          </w:p>
        </w:tc>
        <w:tc>
          <w:tcPr>
            <w:tcW w:w="896" w:type="dxa"/>
            <w:tcBorders>
              <w:top w:val="single" w:color="000000" w:sz="4" w:space="0"/>
              <w:left w:val="nil"/>
              <w:bottom w:val="single" w:color="000000" w:sz="4" w:space="0"/>
              <w:right w:val="single" w:color="000000" w:sz="4" w:space="0"/>
            </w:tcBorders>
          </w:tcPr>
          <w:p w14:paraId="78B2F718">
            <w:pPr>
              <w:widowControl/>
              <w:adjustRightInd w:val="0"/>
              <w:rPr>
                <w:rFonts w:hint="eastAsia" w:ascii="宋体" w:hAnsi="宋体" w:cs="宋体"/>
                <w:kern w:val="0"/>
                <w:szCs w:val="21"/>
              </w:rPr>
            </w:pPr>
          </w:p>
        </w:tc>
        <w:tc>
          <w:tcPr>
            <w:tcW w:w="663" w:type="dxa"/>
            <w:tcBorders>
              <w:top w:val="single" w:color="000000" w:sz="4" w:space="0"/>
              <w:left w:val="nil"/>
              <w:bottom w:val="single" w:color="000000" w:sz="4" w:space="0"/>
              <w:right w:val="single" w:color="000000" w:sz="4" w:space="0"/>
            </w:tcBorders>
          </w:tcPr>
          <w:p w14:paraId="2F158AF1">
            <w:pPr>
              <w:widowControl/>
              <w:adjustRightInd w:val="0"/>
              <w:rPr>
                <w:rFonts w:hint="eastAsia" w:ascii="宋体" w:hAnsi="宋体" w:cs="宋体"/>
                <w:kern w:val="0"/>
                <w:szCs w:val="21"/>
              </w:rPr>
            </w:pPr>
          </w:p>
        </w:tc>
        <w:tc>
          <w:tcPr>
            <w:tcW w:w="709" w:type="dxa"/>
            <w:tcBorders>
              <w:top w:val="single" w:color="000000" w:sz="4" w:space="0"/>
              <w:left w:val="nil"/>
              <w:bottom w:val="single" w:color="000000" w:sz="4" w:space="0"/>
              <w:right w:val="single" w:color="000000" w:sz="4" w:space="0"/>
            </w:tcBorders>
          </w:tcPr>
          <w:p w14:paraId="14629E6A">
            <w:pPr>
              <w:widowControl/>
              <w:adjustRightInd w:val="0"/>
              <w:rPr>
                <w:rFonts w:hint="eastAsia" w:ascii="宋体" w:hAnsi="宋体" w:cs="宋体"/>
                <w:kern w:val="0"/>
                <w:szCs w:val="21"/>
              </w:rPr>
            </w:pPr>
          </w:p>
        </w:tc>
        <w:tc>
          <w:tcPr>
            <w:tcW w:w="1134" w:type="dxa"/>
            <w:tcBorders>
              <w:top w:val="single" w:color="000000" w:sz="4" w:space="0"/>
              <w:left w:val="nil"/>
              <w:bottom w:val="single" w:color="000000" w:sz="4" w:space="0"/>
              <w:right w:val="single" w:color="000000" w:sz="4" w:space="0"/>
            </w:tcBorders>
          </w:tcPr>
          <w:p w14:paraId="144F2BC0">
            <w:pPr>
              <w:widowControl/>
              <w:adjustRightInd w:val="0"/>
              <w:rPr>
                <w:rFonts w:hint="eastAsia" w:ascii="宋体" w:hAnsi="宋体" w:cs="宋体"/>
                <w:kern w:val="0"/>
                <w:szCs w:val="21"/>
              </w:rPr>
            </w:pPr>
          </w:p>
        </w:tc>
        <w:tc>
          <w:tcPr>
            <w:tcW w:w="931" w:type="dxa"/>
            <w:tcBorders>
              <w:top w:val="single" w:color="000000" w:sz="4" w:space="0"/>
              <w:left w:val="nil"/>
              <w:bottom w:val="single" w:color="000000" w:sz="4" w:space="0"/>
              <w:right w:val="single" w:color="000000" w:sz="4" w:space="0"/>
            </w:tcBorders>
          </w:tcPr>
          <w:p w14:paraId="3ACBCA44">
            <w:pPr>
              <w:widowControl/>
              <w:adjustRightInd w:val="0"/>
              <w:rPr>
                <w:rFonts w:hint="eastAsia" w:ascii="宋体" w:hAnsi="宋体" w:cs="宋体"/>
                <w:kern w:val="0"/>
                <w:szCs w:val="21"/>
              </w:rPr>
            </w:pPr>
          </w:p>
        </w:tc>
        <w:tc>
          <w:tcPr>
            <w:tcW w:w="1020" w:type="dxa"/>
            <w:tcBorders>
              <w:top w:val="single" w:color="000000" w:sz="4" w:space="0"/>
              <w:left w:val="nil"/>
              <w:bottom w:val="single" w:color="000000" w:sz="4" w:space="0"/>
              <w:right w:val="single" w:color="000000" w:sz="4" w:space="0"/>
            </w:tcBorders>
          </w:tcPr>
          <w:p w14:paraId="5DA2C862">
            <w:pPr>
              <w:widowControl/>
              <w:adjustRightInd w:val="0"/>
              <w:rPr>
                <w:rFonts w:hint="eastAsia" w:ascii="宋体" w:hAnsi="宋体" w:cs="宋体"/>
                <w:kern w:val="0"/>
                <w:szCs w:val="21"/>
              </w:rPr>
            </w:pPr>
          </w:p>
        </w:tc>
        <w:tc>
          <w:tcPr>
            <w:tcW w:w="994" w:type="dxa"/>
            <w:tcBorders>
              <w:top w:val="single" w:color="000000" w:sz="4" w:space="0"/>
              <w:left w:val="nil"/>
              <w:bottom w:val="single" w:color="000000" w:sz="4" w:space="0"/>
              <w:right w:val="single" w:color="000000" w:sz="4" w:space="0"/>
            </w:tcBorders>
          </w:tcPr>
          <w:p w14:paraId="0ED146BD">
            <w:pPr>
              <w:widowControl/>
              <w:adjustRightInd w:val="0"/>
              <w:rPr>
                <w:rFonts w:hint="eastAsia" w:ascii="宋体" w:hAnsi="宋体" w:cs="宋体"/>
                <w:kern w:val="0"/>
                <w:szCs w:val="21"/>
              </w:rPr>
            </w:pPr>
          </w:p>
        </w:tc>
        <w:tc>
          <w:tcPr>
            <w:tcW w:w="882" w:type="dxa"/>
            <w:tcBorders>
              <w:top w:val="single" w:color="000000" w:sz="4" w:space="0"/>
              <w:left w:val="nil"/>
              <w:bottom w:val="single" w:color="000000" w:sz="4" w:space="0"/>
              <w:right w:val="single" w:color="000000" w:sz="4" w:space="0"/>
            </w:tcBorders>
          </w:tcPr>
          <w:p w14:paraId="69156B8F">
            <w:pPr>
              <w:widowControl/>
              <w:adjustRightInd w:val="0"/>
              <w:rPr>
                <w:rFonts w:hint="eastAsia" w:ascii="宋体" w:hAnsi="宋体" w:cs="宋体"/>
                <w:kern w:val="0"/>
                <w:szCs w:val="21"/>
              </w:rPr>
            </w:pPr>
          </w:p>
        </w:tc>
        <w:tc>
          <w:tcPr>
            <w:tcW w:w="850" w:type="dxa"/>
            <w:tcBorders>
              <w:top w:val="single" w:color="000000" w:sz="4" w:space="0"/>
              <w:left w:val="nil"/>
              <w:bottom w:val="single" w:color="000000" w:sz="4" w:space="0"/>
              <w:right w:val="single" w:color="000000" w:sz="4" w:space="0"/>
            </w:tcBorders>
          </w:tcPr>
          <w:p w14:paraId="28DEE5A3">
            <w:pPr>
              <w:widowControl/>
              <w:adjustRightInd w:val="0"/>
              <w:rPr>
                <w:rFonts w:hint="eastAsia" w:ascii="宋体" w:hAnsi="宋体" w:cs="宋体"/>
                <w:kern w:val="0"/>
                <w:szCs w:val="21"/>
              </w:rPr>
            </w:pPr>
          </w:p>
        </w:tc>
        <w:tc>
          <w:tcPr>
            <w:tcW w:w="851" w:type="dxa"/>
            <w:tcBorders>
              <w:top w:val="single" w:color="000000" w:sz="4" w:space="0"/>
              <w:left w:val="nil"/>
              <w:bottom w:val="single" w:color="000000" w:sz="4" w:space="0"/>
              <w:right w:val="single" w:color="000000" w:sz="4" w:space="0"/>
            </w:tcBorders>
          </w:tcPr>
          <w:p w14:paraId="575565C1">
            <w:pPr>
              <w:widowControl/>
              <w:adjustRightInd w:val="0"/>
              <w:rPr>
                <w:rFonts w:hint="eastAsia" w:ascii="宋体" w:hAnsi="宋体" w:cs="宋体"/>
                <w:kern w:val="0"/>
                <w:szCs w:val="21"/>
              </w:rPr>
            </w:pPr>
          </w:p>
        </w:tc>
      </w:tr>
      <w:tr w14:paraId="7C57DDB3">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5454DDEB">
            <w:pPr>
              <w:widowControl/>
              <w:adjustRightInd w:val="0"/>
              <w:rPr>
                <w:rFonts w:hint="eastAsia" w:ascii="宋体" w:hAnsi="宋体" w:cs="宋体"/>
                <w:kern w:val="0"/>
                <w:szCs w:val="21"/>
              </w:rPr>
            </w:pPr>
          </w:p>
        </w:tc>
        <w:tc>
          <w:tcPr>
            <w:tcW w:w="896" w:type="dxa"/>
            <w:tcBorders>
              <w:top w:val="single" w:color="000000" w:sz="4" w:space="0"/>
              <w:left w:val="nil"/>
              <w:bottom w:val="single" w:color="000000" w:sz="4" w:space="0"/>
              <w:right w:val="single" w:color="000000" w:sz="4" w:space="0"/>
            </w:tcBorders>
          </w:tcPr>
          <w:p w14:paraId="5C7C6640">
            <w:pPr>
              <w:widowControl/>
              <w:adjustRightInd w:val="0"/>
              <w:rPr>
                <w:rFonts w:hint="eastAsia" w:ascii="宋体" w:hAnsi="宋体" w:cs="宋体"/>
                <w:kern w:val="0"/>
                <w:szCs w:val="21"/>
              </w:rPr>
            </w:pPr>
          </w:p>
        </w:tc>
        <w:tc>
          <w:tcPr>
            <w:tcW w:w="663" w:type="dxa"/>
            <w:tcBorders>
              <w:top w:val="single" w:color="000000" w:sz="4" w:space="0"/>
              <w:left w:val="nil"/>
              <w:bottom w:val="single" w:color="000000" w:sz="4" w:space="0"/>
              <w:right w:val="single" w:color="000000" w:sz="4" w:space="0"/>
            </w:tcBorders>
          </w:tcPr>
          <w:p w14:paraId="0F3F85E9">
            <w:pPr>
              <w:widowControl/>
              <w:adjustRightInd w:val="0"/>
              <w:rPr>
                <w:rFonts w:hint="eastAsia" w:ascii="宋体" w:hAnsi="宋体" w:cs="宋体"/>
                <w:kern w:val="0"/>
                <w:szCs w:val="21"/>
              </w:rPr>
            </w:pPr>
          </w:p>
        </w:tc>
        <w:tc>
          <w:tcPr>
            <w:tcW w:w="709" w:type="dxa"/>
            <w:tcBorders>
              <w:top w:val="single" w:color="000000" w:sz="4" w:space="0"/>
              <w:left w:val="nil"/>
              <w:bottom w:val="single" w:color="000000" w:sz="4" w:space="0"/>
              <w:right w:val="single" w:color="000000" w:sz="4" w:space="0"/>
            </w:tcBorders>
          </w:tcPr>
          <w:p w14:paraId="33D03F62">
            <w:pPr>
              <w:widowControl/>
              <w:adjustRightInd w:val="0"/>
              <w:rPr>
                <w:rFonts w:hint="eastAsia" w:ascii="宋体" w:hAnsi="宋体" w:cs="宋体"/>
                <w:kern w:val="0"/>
                <w:szCs w:val="21"/>
              </w:rPr>
            </w:pPr>
          </w:p>
        </w:tc>
        <w:tc>
          <w:tcPr>
            <w:tcW w:w="1134" w:type="dxa"/>
            <w:tcBorders>
              <w:top w:val="single" w:color="000000" w:sz="4" w:space="0"/>
              <w:left w:val="nil"/>
              <w:bottom w:val="single" w:color="000000" w:sz="4" w:space="0"/>
              <w:right w:val="single" w:color="000000" w:sz="4" w:space="0"/>
            </w:tcBorders>
          </w:tcPr>
          <w:p w14:paraId="6A58ED0C">
            <w:pPr>
              <w:widowControl/>
              <w:adjustRightInd w:val="0"/>
              <w:rPr>
                <w:rFonts w:hint="eastAsia" w:ascii="宋体" w:hAnsi="宋体" w:cs="宋体"/>
                <w:kern w:val="0"/>
                <w:szCs w:val="21"/>
              </w:rPr>
            </w:pPr>
          </w:p>
        </w:tc>
        <w:tc>
          <w:tcPr>
            <w:tcW w:w="931" w:type="dxa"/>
            <w:tcBorders>
              <w:top w:val="single" w:color="000000" w:sz="4" w:space="0"/>
              <w:left w:val="nil"/>
              <w:bottom w:val="single" w:color="000000" w:sz="4" w:space="0"/>
              <w:right w:val="single" w:color="000000" w:sz="4" w:space="0"/>
            </w:tcBorders>
          </w:tcPr>
          <w:p w14:paraId="25799597">
            <w:pPr>
              <w:widowControl/>
              <w:adjustRightInd w:val="0"/>
              <w:rPr>
                <w:rFonts w:hint="eastAsia" w:ascii="宋体" w:hAnsi="宋体" w:cs="宋体"/>
                <w:kern w:val="0"/>
                <w:szCs w:val="21"/>
              </w:rPr>
            </w:pPr>
          </w:p>
        </w:tc>
        <w:tc>
          <w:tcPr>
            <w:tcW w:w="1020" w:type="dxa"/>
            <w:tcBorders>
              <w:top w:val="single" w:color="000000" w:sz="4" w:space="0"/>
              <w:left w:val="nil"/>
              <w:bottom w:val="single" w:color="000000" w:sz="4" w:space="0"/>
              <w:right w:val="single" w:color="000000" w:sz="4" w:space="0"/>
            </w:tcBorders>
          </w:tcPr>
          <w:p w14:paraId="568FC73F">
            <w:pPr>
              <w:widowControl/>
              <w:adjustRightInd w:val="0"/>
              <w:rPr>
                <w:rFonts w:hint="eastAsia" w:ascii="宋体" w:hAnsi="宋体" w:cs="宋体"/>
                <w:kern w:val="0"/>
                <w:szCs w:val="21"/>
              </w:rPr>
            </w:pPr>
          </w:p>
        </w:tc>
        <w:tc>
          <w:tcPr>
            <w:tcW w:w="994" w:type="dxa"/>
            <w:tcBorders>
              <w:top w:val="single" w:color="000000" w:sz="4" w:space="0"/>
              <w:left w:val="nil"/>
              <w:bottom w:val="single" w:color="000000" w:sz="4" w:space="0"/>
              <w:right w:val="single" w:color="000000" w:sz="4" w:space="0"/>
            </w:tcBorders>
          </w:tcPr>
          <w:p w14:paraId="60AB53F0">
            <w:pPr>
              <w:widowControl/>
              <w:adjustRightInd w:val="0"/>
              <w:rPr>
                <w:rFonts w:hint="eastAsia" w:ascii="宋体" w:hAnsi="宋体" w:cs="宋体"/>
                <w:kern w:val="0"/>
                <w:szCs w:val="21"/>
              </w:rPr>
            </w:pPr>
          </w:p>
        </w:tc>
        <w:tc>
          <w:tcPr>
            <w:tcW w:w="882" w:type="dxa"/>
            <w:tcBorders>
              <w:top w:val="single" w:color="000000" w:sz="4" w:space="0"/>
              <w:left w:val="nil"/>
              <w:bottom w:val="single" w:color="000000" w:sz="4" w:space="0"/>
              <w:right w:val="single" w:color="000000" w:sz="4" w:space="0"/>
            </w:tcBorders>
          </w:tcPr>
          <w:p w14:paraId="393FEACC">
            <w:pPr>
              <w:widowControl/>
              <w:adjustRightInd w:val="0"/>
              <w:rPr>
                <w:rFonts w:hint="eastAsia" w:ascii="宋体" w:hAnsi="宋体" w:cs="宋体"/>
                <w:kern w:val="0"/>
                <w:szCs w:val="21"/>
              </w:rPr>
            </w:pPr>
          </w:p>
        </w:tc>
        <w:tc>
          <w:tcPr>
            <w:tcW w:w="850" w:type="dxa"/>
            <w:tcBorders>
              <w:top w:val="single" w:color="000000" w:sz="4" w:space="0"/>
              <w:left w:val="nil"/>
              <w:bottom w:val="single" w:color="000000" w:sz="4" w:space="0"/>
              <w:right w:val="single" w:color="000000" w:sz="4" w:space="0"/>
            </w:tcBorders>
          </w:tcPr>
          <w:p w14:paraId="55C4F3F6">
            <w:pPr>
              <w:widowControl/>
              <w:adjustRightInd w:val="0"/>
              <w:rPr>
                <w:rFonts w:hint="eastAsia" w:ascii="宋体" w:hAnsi="宋体" w:cs="宋体"/>
                <w:kern w:val="0"/>
                <w:szCs w:val="21"/>
              </w:rPr>
            </w:pPr>
          </w:p>
        </w:tc>
        <w:tc>
          <w:tcPr>
            <w:tcW w:w="851" w:type="dxa"/>
            <w:tcBorders>
              <w:top w:val="single" w:color="000000" w:sz="4" w:space="0"/>
              <w:left w:val="nil"/>
              <w:bottom w:val="single" w:color="000000" w:sz="4" w:space="0"/>
              <w:right w:val="single" w:color="000000" w:sz="4" w:space="0"/>
            </w:tcBorders>
          </w:tcPr>
          <w:p w14:paraId="7334F278">
            <w:pPr>
              <w:widowControl/>
              <w:adjustRightInd w:val="0"/>
              <w:rPr>
                <w:rFonts w:hint="eastAsia" w:ascii="宋体" w:hAnsi="宋体" w:cs="宋体"/>
                <w:kern w:val="0"/>
                <w:szCs w:val="21"/>
              </w:rPr>
            </w:pPr>
          </w:p>
        </w:tc>
      </w:tr>
      <w:tr w14:paraId="20AC2E90">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1DEB4494">
            <w:pPr>
              <w:widowControl/>
              <w:adjustRightInd w:val="0"/>
              <w:rPr>
                <w:rFonts w:hint="eastAsia" w:ascii="宋体" w:hAnsi="宋体" w:cs="宋体"/>
                <w:kern w:val="0"/>
                <w:szCs w:val="21"/>
              </w:rPr>
            </w:pPr>
          </w:p>
        </w:tc>
        <w:tc>
          <w:tcPr>
            <w:tcW w:w="896" w:type="dxa"/>
            <w:tcBorders>
              <w:top w:val="single" w:color="000000" w:sz="4" w:space="0"/>
              <w:left w:val="nil"/>
              <w:bottom w:val="single" w:color="000000" w:sz="4" w:space="0"/>
              <w:right w:val="single" w:color="000000" w:sz="4" w:space="0"/>
            </w:tcBorders>
          </w:tcPr>
          <w:p w14:paraId="2A5ECB62">
            <w:pPr>
              <w:widowControl/>
              <w:adjustRightInd w:val="0"/>
              <w:rPr>
                <w:rFonts w:hint="eastAsia" w:ascii="宋体" w:hAnsi="宋体" w:cs="宋体"/>
                <w:kern w:val="0"/>
                <w:szCs w:val="21"/>
              </w:rPr>
            </w:pPr>
          </w:p>
        </w:tc>
        <w:tc>
          <w:tcPr>
            <w:tcW w:w="663" w:type="dxa"/>
            <w:tcBorders>
              <w:top w:val="single" w:color="000000" w:sz="4" w:space="0"/>
              <w:left w:val="nil"/>
              <w:bottom w:val="single" w:color="000000" w:sz="4" w:space="0"/>
              <w:right w:val="single" w:color="000000" w:sz="4" w:space="0"/>
            </w:tcBorders>
          </w:tcPr>
          <w:p w14:paraId="7BA349A9">
            <w:pPr>
              <w:widowControl/>
              <w:adjustRightInd w:val="0"/>
              <w:rPr>
                <w:rFonts w:hint="eastAsia" w:ascii="宋体" w:hAnsi="宋体" w:cs="宋体"/>
                <w:kern w:val="0"/>
                <w:szCs w:val="21"/>
              </w:rPr>
            </w:pPr>
          </w:p>
        </w:tc>
        <w:tc>
          <w:tcPr>
            <w:tcW w:w="709" w:type="dxa"/>
            <w:tcBorders>
              <w:top w:val="single" w:color="000000" w:sz="4" w:space="0"/>
              <w:left w:val="nil"/>
              <w:bottom w:val="single" w:color="000000" w:sz="4" w:space="0"/>
              <w:right w:val="single" w:color="000000" w:sz="4" w:space="0"/>
            </w:tcBorders>
          </w:tcPr>
          <w:p w14:paraId="530A877B">
            <w:pPr>
              <w:widowControl/>
              <w:adjustRightInd w:val="0"/>
              <w:rPr>
                <w:rFonts w:hint="eastAsia" w:ascii="宋体" w:hAnsi="宋体" w:cs="宋体"/>
                <w:kern w:val="0"/>
                <w:szCs w:val="21"/>
              </w:rPr>
            </w:pPr>
          </w:p>
        </w:tc>
        <w:tc>
          <w:tcPr>
            <w:tcW w:w="1134" w:type="dxa"/>
            <w:tcBorders>
              <w:top w:val="single" w:color="000000" w:sz="4" w:space="0"/>
              <w:left w:val="nil"/>
              <w:bottom w:val="single" w:color="000000" w:sz="4" w:space="0"/>
              <w:right w:val="single" w:color="000000" w:sz="4" w:space="0"/>
            </w:tcBorders>
          </w:tcPr>
          <w:p w14:paraId="0615C55E">
            <w:pPr>
              <w:widowControl/>
              <w:adjustRightInd w:val="0"/>
              <w:rPr>
                <w:rFonts w:hint="eastAsia" w:ascii="宋体" w:hAnsi="宋体" w:cs="宋体"/>
                <w:kern w:val="0"/>
                <w:szCs w:val="21"/>
              </w:rPr>
            </w:pPr>
          </w:p>
        </w:tc>
        <w:tc>
          <w:tcPr>
            <w:tcW w:w="931" w:type="dxa"/>
            <w:tcBorders>
              <w:top w:val="single" w:color="000000" w:sz="4" w:space="0"/>
              <w:left w:val="nil"/>
              <w:bottom w:val="single" w:color="000000" w:sz="4" w:space="0"/>
              <w:right w:val="single" w:color="000000" w:sz="4" w:space="0"/>
            </w:tcBorders>
          </w:tcPr>
          <w:p w14:paraId="76AAA3FE">
            <w:pPr>
              <w:widowControl/>
              <w:adjustRightInd w:val="0"/>
              <w:rPr>
                <w:rFonts w:hint="eastAsia" w:ascii="宋体" w:hAnsi="宋体" w:cs="宋体"/>
                <w:kern w:val="0"/>
                <w:szCs w:val="21"/>
              </w:rPr>
            </w:pPr>
          </w:p>
        </w:tc>
        <w:tc>
          <w:tcPr>
            <w:tcW w:w="1020" w:type="dxa"/>
            <w:tcBorders>
              <w:top w:val="single" w:color="000000" w:sz="4" w:space="0"/>
              <w:left w:val="nil"/>
              <w:bottom w:val="single" w:color="000000" w:sz="4" w:space="0"/>
              <w:right w:val="single" w:color="000000" w:sz="4" w:space="0"/>
            </w:tcBorders>
          </w:tcPr>
          <w:p w14:paraId="7CDDB788">
            <w:pPr>
              <w:widowControl/>
              <w:adjustRightInd w:val="0"/>
              <w:rPr>
                <w:rFonts w:hint="eastAsia" w:ascii="宋体" w:hAnsi="宋体" w:cs="宋体"/>
                <w:kern w:val="0"/>
                <w:szCs w:val="21"/>
              </w:rPr>
            </w:pPr>
          </w:p>
        </w:tc>
        <w:tc>
          <w:tcPr>
            <w:tcW w:w="994" w:type="dxa"/>
            <w:tcBorders>
              <w:top w:val="single" w:color="000000" w:sz="4" w:space="0"/>
              <w:left w:val="nil"/>
              <w:bottom w:val="single" w:color="000000" w:sz="4" w:space="0"/>
              <w:right w:val="single" w:color="000000" w:sz="4" w:space="0"/>
            </w:tcBorders>
          </w:tcPr>
          <w:p w14:paraId="013D5CD6">
            <w:pPr>
              <w:widowControl/>
              <w:adjustRightInd w:val="0"/>
              <w:rPr>
                <w:rFonts w:hint="eastAsia" w:ascii="宋体" w:hAnsi="宋体" w:cs="宋体"/>
                <w:kern w:val="0"/>
                <w:szCs w:val="21"/>
              </w:rPr>
            </w:pPr>
          </w:p>
        </w:tc>
        <w:tc>
          <w:tcPr>
            <w:tcW w:w="882" w:type="dxa"/>
            <w:tcBorders>
              <w:top w:val="single" w:color="000000" w:sz="4" w:space="0"/>
              <w:left w:val="nil"/>
              <w:bottom w:val="single" w:color="000000" w:sz="4" w:space="0"/>
              <w:right w:val="single" w:color="000000" w:sz="4" w:space="0"/>
            </w:tcBorders>
          </w:tcPr>
          <w:p w14:paraId="67523686">
            <w:pPr>
              <w:widowControl/>
              <w:adjustRightInd w:val="0"/>
              <w:rPr>
                <w:rFonts w:hint="eastAsia" w:ascii="宋体" w:hAnsi="宋体" w:cs="宋体"/>
                <w:kern w:val="0"/>
                <w:szCs w:val="21"/>
              </w:rPr>
            </w:pPr>
          </w:p>
        </w:tc>
        <w:tc>
          <w:tcPr>
            <w:tcW w:w="850" w:type="dxa"/>
            <w:tcBorders>
              <w:top w:val="single" w:color="000000" w:sz="4" w:space="0"/>
              <w:left w:val="nil"/>
              <w:bottom w:val="single" w:color="000000" w:sz="4" w:space="0"/>
              <w:right w:val="single" w:color="000000" w:sz="4" w:space="0"/>
            </w:tcBorders>
          </w:tcPr>
          <w:p w14:paraId="5D5C779E">
            <w:pPr>
              <w:widowControl/>
              <w:adjustRightInd w:val="0"/>
              <w:rPr>
                <w:rFonts w:hint="eastAsia" w:ascii="宋体" w:hAnsi="宋体" w:cs="宋体"/>
                <w:kern w:val="0"/>
                <w:szCs w:val="21"/>
              </w:rPr>
            </w:pPr>
          </w:p>
        </w:tc>
        <w:tc>
          <w:tcPr>
            <w:tcW w:w="851" w:type="dxa"/>
            <w:tcBorders>
              <w:top w:val="single" w:color="000000" w:sz="4" w:space="0"/>
              <w:left w:val="nil"/>
              <w:bottom w:val="single" w:color="000000" w:sz="4" w:space="0"/>
              <w:right w:val="single" w:color="000000" w:sz="4" w:space="0"/>
            </w:tcBorders>
          </w:tcPr>
          <w:p w14:paraId="7EAF4738">
            <w:pPr>
              <w:widowControl/>
              <w:adjustRightInd w:val="0"/>
              <w:rPr>
                <w:rFonts w:hint="eastAsia" w:ascii="宋体" w:hAnsi="宋体" w:cs="宋体"/>
                <w:kern w:val="0"/>
                <w:szCs w:val="21"/>
              </w:rPr>
            </w:pPr>
          </w:p>
        </w:tc>
      </w:tr>
      <w:tr w14:paraId="62D3C666">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BCF9423">
            <w:pPr>
              <w:widowControl/>
              <w:adjustRightInd w:val="0"/>
              <w:rPr>
                <w:rFonts w:hint="eastAsia" w:ascii="宋体" w:hAnsi="宋体" w:cs="宋体"/>
                <w:kern w:val="0"/>
                <w:szCs w:val="21"/>
              </w:rPr>
            </w:pPr>
          </w:p>
        </w:tc>
        <w:tc>
          <w:tcPr>
            <w:tcW w:w="896" w:type="dxa"/>
            <w:tcBorders>
              <w:top w:val="single" w:color="000000" w:sz="4" w:space="0"/>
              <w:left w:val="nil"/>
              <w:bottom w:val="single" w:color="000000" w:sz="4" w:space="0"/>
              <w:right w:val="single" w:color="000000" w:sz="4" w:space="0"/>
            </w:tcBorders>
          </w:tcPr>
          <w:p w14:paraId="55AA0DA5">
            <w:pPr>
              <w:widowControl/>
              <w:adjustRightInd w:val="0"/>
              <w:rPr>
                <w:rFonts w:hint="eastAsia" w:ascii="宋体" w:hAnsi="宋体" w:cs="宋体"/>
                <w:kern w:val="0"/>
                <w:szCs w:val="21"/>
              </w:rPr>
            </w:pPr>
          </w:p>
        </w:tc>
        <w:tc>
          <w:tcPr>
            <w:tcW w:w="663" w:type="dxa"/>
            <w:tcBorders>
              <w:top w:val="single" w:color="000000" w:sz="4" w:space="0"/>
              <w:left w:val="nil"/>
              <w:bottom w:val="single" w:color="000000" w:sz="4" w:space="0"/>
              <w:right w:val="single" w:color="000000" w:sz="4" w:space="0"/>
            </w:tcBorders>
          </w:tcPr>
          <w:p w14:paraId="4FC78E3B">
            <w:pPr>
              <w:widowControl/>
              <w:adjustRightInd w:val="0"/>
              <w:rPr>
                <w:rFonts w:hint="eastAsia" w:ascii="宋体" w:hAnsi="宋体" w:cs="宋体"/>
                <w:kern w:val="0"/>
                <w:szCs w:val="21"/>
              </w:rPr>
            </w:pPr>
          </w:p>
        </w:tc>
        <w:tc>
          <w:tcPr>
            <w:tcW w:w="709" w:type="dxa"/>
            <w:tcBorders>
              <w:top w:val="single" w:color="000000" w:sz="4" w:space="0"/>
              <w:left w:val="nil"/>
              <w:bottom w:val="single" w:color="000000" w:sz="4" w:space="0"/>
              <w:right w:val="single" w:color="000000" w:sz="4" w:space="0"/>
            </w:tcBorders>
          </w:tcPr>
          <w:p w14:paraId="038A896D">
            <w:pPr>
              <w:widowControl/>
              <w:adjustRightInd w:val="0"/>
              <w:rPr>
                <w:rFonts w:hint="eastAsia" w:ascii="宋体" w:hAnsi="宋体" w:cs="宋体"/>
                <w:kern w:val="0"/>
                <w:szCs w:val="21"/>
              </w:rPr>
            </w:pPr>
          </w:p>
        </w:tc>
        <w:tc>
          <w:tcPr>
            <w:tcW w:w="1134" w:type="dxa"/>
            <w:tcBorders>
              <w:top w:val="single" w:color="000000" w:sz="4" w:space="0"/>
              <w:left w:val="nil"/>
              <w:bottom w:val="single" w:color="000000" w:sz="4" w:space="0"/>
              <w:right w:val="single" w:color="000000" w:sz="4" w:space="0"/>
            </w:tcBorders>
          </w:tcPr>
          <w:p w14:paraId="6ED5C08F">
            <w:pPr>
              <w:widowControl/>
              <w:adjustRightInd w:val="0"/>
              <w:rPr>
                <w:rFonts w:hint="eastAsia" w:ascii="宋体" w:hAnsi="宋体" w:cs="宋体"/>
                <w:kern w:val="0"/>
                <w:szCs w:val="21"/>
              </w:rPr>
            </w:pPr>
          </w:p>
        </w:tc>
        <w:tc>
          <w:tcPr>
            <w:tcW w:w="931" w:type="dxa"/>
            <w:tcBorders>
              <w:top w:val="single" w:color="000000" w:sz="4" w:space="0"/>
              <w:left w:val="nil"/>
              <w:bottom w:val="single" w:color="000000" w:sz="4" w:space="0"/>
              <w:right w:val="single" w:color="000000" w:sz="4" w:space="0"/>
            </w:tcBorders>
          </w:tcPr>
          <w:p w14:paraId="095E41F8">
            <w:pPr>
              <w:widowControl/>
              <w:adjustRightInd w:val="0"/>
              <w:rPr>
                <w:rFonts w:hint="eastAsia" w:ascii="宋体" w:hAnsi="宋体" w:cs="宋体"/>
                <w:kern w:val="0"/>
                <w:szCs w:val="21"/>
              </w:rPr>
            </w:pPr>
          </w:p>
        </w:tc>
        <w:tc>
          <w:tcPr>
            <w:tcW w:w="1020" w:type="dxa"/>
            <w:tcBorders>
              <w:top w:val="single" w:color="000000" w:sz="4" w:space="0"/>
              <w:left w:val="nil"/>
              <w:bottom w:val="single" w:color="000000" w:sz="4" w:space="0"/>
              <w:right w:val="single" w:color="000000" w:sz="4" w:space="0"/>
            </w:tcBorders>
          </w:tcPr>
          <w:p w14:paraId="2DCFF60D">
            <w:pPr>
              <w:widowControl/>
              <w:adjustRightInd w:val="0"/>
              <w:rPr>
                <w:rFonts w:hint="eastAsia" w:ascii="宋体" w:hAnsi="宋体" w:cs="宋体"/>
                <w:kern w:val="0"/>
                <w:szCs w:val="21"/>
              </w:rPr>
            </w:pPr>
          </w:p>
        </w:tc>
        <w:tc>
          <w:tcPr>
            <w:tcW w:w="994" w:type="dxa"/>
            <w:tcBorders>
              <w:top w:val="single" w:color="000000" w:sz="4" w:space="0"/>
              <w:left w:val="nil"/>
              <w:bottom w:val="single" w:color="000000" w:sz="4" w:space="0"/>
              <w:right w:val="single" w:color="000000" w:sz="4" w:space="0"/>
            </w:tcBorders>
          </w:tcPr>
          <w:p w14:paraId="0036A596">
            <w:pPr>
              <w:widowControl/>
              <w:adjustRightInd w:val="0"/>
              <w:rPr>
                <w:rFonts w:hint="eastAsia" w:ascii="宋体" w:hAnsi="宋体" w:cs="宋体"/>
                <w:kern w:val="0"/>
                <w:szCs w:val="21"/>
              </w:rPr>
            </w:pPr>
          </w:p>
        </w:tc>
        <w:tc>
          <w:tcPr>
            <w:tcW w:w="882" w:type="dxa"/>
            <w:tcBorders>
              <w:top w:val="single" w:color="000000" w:sz="4" w:space="0"/>
              <w:left w:val="nil"/>
              <w:bottom w:val="single" w:color="000000" w:sz="4" w:space="0"/>
              <w:right w:val="single" w:color="000000" w:sz="4" w:space="0"/>
            </w:tcBorders>
          </w:tcPr>
          <w:p w14:paraId="23FC7E0F">
            <w:pPr>
              <w:widowControl/>
              <w:adjustRightInd w:val="0"/>
              <w:rPr>
                <w:rFonts w:hint="eastAsia" w:ascii="宋体" w:hAnsi="宋体" w:cs="宋体"/>
                <w:kern w:val="0"/>
                <w:szCs w:val="21"/>
              </w:rPr>
            </w:pPr>
          </w:p>
        </w:tc>
        <w:tc>
          <w:tcPr>
            <w:tcW w:w="850" w:type="dxa"/>
            <w:tcBorders>
              <w:top w:val="single" w:color="000000" w:sz="4" w:space="0"/>
              <w:left w:val="nil"/>
              <w:bottom w:val="single" w:color="000000" w:sz="4" w:space="0"/>
              <w:right w:val="single" w:color="000000" w:sz="4" w:space="0"/>
            </w:tcBorders>
          </w:tcPr>
          <w:p w14:paraId="16117CF8">
            <w:pPr>
              <w:widowControl/>
              <w:adjustRightInd w:val="0"/>
              <w:rPr>
                <w:rFonts w:hint="eastAsia" w:ascii="宋体" w:hAnsi="宋体" w:cs="宋体"/>
                <w:kern w:val="0"/>
                <w:szCs w:val="21"/>
              </w:rPr>
            </w:pPr>
          </w:p>
        </w:tc>
        <w:tc>
          <w:tcPr>
            <w:tcW w:w="851" w:type="dxa"/>
            <w:tcBorders>
              <w:top w:val="single" w:color="000000" w:sz="4" w:space="0"/>
              <w:left w:val="nil"/>
              <w:bottom w:val="single" w:color="000000" w:sz="4" w:space="0"/>
              <w:right w:val="single" w:color="000000" w:sz="4" w:space="0"/>
            </w:tcBorders>
          </w:tcPr>
          <w:p w14:paraId="6F7D7D66">
            <w:pPr>
              <w:widowControl/>
              <w:adjustRightInd w:val="0"/>
              <w:rPr>
                <w:rFonts w:hint="eastAsia" w:ascii="宋体" w:hAnsi="宋体" w:cs="宋体"/>
                <w:kern w:val="0"/>
                <w:szCs w:val="21"/>
              </w:rPr>
            </w:pPr>
          </w:p>
        </w:tc>
      </w:tr>
      <w:tr w14:paraId="61875569">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26C1AA0F">
            <w:pPr>
              <w:widowControl/>
              <w:adjustRightInd w:val="0"/>
              <w:rPr>
                <w:rFonts w:hint="eastAsia" w:ascii="宋体" w:hAnsi="宋体" w:cs="宋体"/>
                <w:kern w:val="0"/>
                <w:szCs w:val="21"/>
              </w:rPr>
            </w:pPr>
          </w:p>
        </w:tc>
        <w:tc>
          <w:tcPr>
            <w:tcW w:w="896" w:type="dxa"/>
            <w:tcBorders>
              <w:top w:val="single" w:color="000000" w:sz="4" w:space="0"/>
              <w:left w:val="nil"/>
              <w:bottom w:val="single" w:color="000000" w:sz="4" w:space="0"/>
              <w:right w:val="single" w:color="000000" w:sz="4" w:space="0"/>
            </w:tcBorders>
          </w:tcPr>
          <w:p w14:paraId="28D374F6">
            <w:pPr>
              <w:widowControl/>
              <w:adjustRightInd w:val="0"/>
              <w:rPr>
                <w:rFonts w:hint="eastAsia" w:ascii="宋体" w:hAnsi="宋体" w:cs="宋体"/>
                <w:kern w:val="0"/>
                <w:szCs w:val="21"/>
              </w:rPr>
            </w:pPr>
          </w:p>
        </w:tc>
        <w:tc>
          <w:tcPr>
            <w:tcW w:w="663" w:type="dxa"/>
            <w:tcBorders>
              <w:top w:val="single" w:color="000000" w:sz="4" w:space="0"/>
              <w:left w:val="nil"/>
              <w:bottom w:val="single" w:color="000000" w:sz="4" w:space="0"/>
              <w:right w:val="single" w:color="000000" w:sz="4" w:space="0"/>
            </w:tcBorders>
          </w:tcPr>
          <w:p w14:paraId="480EFC76">
            <w:pPr>
              <w:widowControl/>
              <w:adjustRightInd w:val="0"/>
              <w:rPr>
                <w:rFonts w:hint="eastAsia" w:ascii="宋体" w:hAnsi="宋体" w:cs="宋体"/>
                <w:kern w:val="0"/>
                <w:szCs w:val="21"/>
              </w:rPr>
            </w:pPr>
          </w:p>
        </w:tc>
        <w:tc>
          <w:tcPr>
            <w:tcW w:w="709" w:type="dxa"/>
            <w:tcBorders>
              <w:top w:val="single" w:color="000000" w:sz="4" w:space="0"/>
              <w:left w:val="nil"/>
              <w:bottom w:val="single" w:color="000000" w:sz="4" w:space="0"/>
              <w:right w:val="single" w:color="000000" w:sz="4" w:space="0"/>
            </w:tcBorders>
          </w:tcPr>
          <w:p w14:paraId="0330B44C">
            <w:pPr>
              <w:widowControl/>
              <w:adjustRightInd w:val="0"/>
              <w:rPr>
                <w:rFonts w:hint="eastAsia" w:ascii="宋体" w:hAnsi="宋体" w:cs="宋体"/>
                <w:kern w:val="0"/>
                <w:szCs w:val="21"/>
              </w:rPr>
            </w:pPr>
          </w:p>
        </w:tc>
        <w:tc>
          <w:tcPr>
            <w:tcW w:w="1134" w:type="dxa"/>
            <w:tcBorders>
              <w:top w:val="single" w:color="000000" w:sz="4" w:space="0"/>
              <w:left w:val="nil"/>
              <w:bottom w:val="single" w:color="000000" w:sz="4" w:space="0"/>
              <w:right w:val="single" w:color="000000" w:sz="4" w:space="0"/>
            </w:tcBorders>
          </w:tcPr>
          <w:p w14:paraId="0084D94A">
            <w:pPr>
              <w:widowControl/>
              <w:adjustRightInd w:val="0"/>
              <w:rPr>
                <w:rFonts w:hint="eastAsia" w:ascii="宋体" w:hAnsi="宋体" w:cs="宋体"/>
                <w:kern w:val="0"/>
                <w:szCs w:val="21"/>
              </w:rPr>
            </w:pPr>
          </w:p>
        </w:tc>
        <w:tc>
          <w:tcPr>
            <w:tcW w:w="931" w:type="dxa"/>
            <w:tcBorders>
              <w:top w:val="single" w:color="000000" w:sz="4" w:space="0"/>
              <w:left w:val="nil"/>
              <w:bottom w:val="single" w:color="000000" w:sz="4" w:space="0"/>
              <w:right w:val="single" w:color="000000" w:sz="4" w:space="0"/>
            </w:tcBorders>
          </w:tcPr>
          <w:p w14:paraId="589497DC">
            <w:pPr>
              <w:widowControl/>
              <w:adjustRightInd w:val="0"/>
              <w:rPr>
                <w:rFonts w:hint="eastAsia" w:ascii="宋体" w:hAnsi="宋体" w:cs="宋体"/>
                <w:kern w:val="0"/>
                <w:szCs w:val="21"/>
              </w:rPr>
            </w:pPr>
          </w:p>
        </w:tc>
        <w:tc>
          <w:tcPr>
            <w:tcW w:w="1020" w:type="dxa"/>
            <w:tcBorders>
              <w:top w:val="single" w:color="000000" w:sz="4" w:space="0"/>
              <w:left w:val="nil"/>
              <w:bottom w:val="single" w:color="000000" w:sz="4" w:space="0"/>
              <w:right w:val="single" w:color="000000" w:sz="4" w:space="0"/>
            </w:tcBorders>
          </w:tcPr>
          <w:p w14:paraId="332FB2D5">
            <w:pPr>
              <w:widowControl/>
              <w:adjustRightInd w:val="0"/>
              <w:rPr>
                <w:rFonts w:hint="eastAsia" w:ascii="宋体" w:hAnsi="宋体" w:cs="宋体"/>
                <w:kern w:val="0"/>
                <w:szCs w:val="21"/>
              </w:rPr>
            </w:pPr>
          </w:p>
        </w:tc>
        <w:tc>
          <w:tcPr>
            <w:tcW w:w="994" w:type="dxa"/>
            <w:tcBorders>
              <w:top w:val="single" w:color="000000" w:sz="4" w:space="0"/>
              <w:left w:val="nil"/>
              <w:bottom w:val="single" w:color="000000" w:sz="4" w:space="0"/>
              <w:right w:val="single" w:color="000000" w:sz="4" w:space="0"/>
            </w:tcBorders>
          </w:tcPr>
          <w:p w14:paraId="5020AB59">
            <w:pPr>
              <w:widowControl/>
              <w:adjustRightInd w:val="0"/>
              <w:rPr>
                <w:rFonts w:hint="eastAsia" w:ascii="宋体" w:hAnsi="宋体" w:cs="宋体"/>
                <w:kern w:val="0"/>
                <w:szCs w:val="21"/>
              </w:rPr>
            </w:pPr>
          </w:p>
        </w:tc>
        <w:tc>
          <w:tcPr>
            <w:tcW w:w="882" w:type="dxa"/>
            <w:tcBorders>
              <w:top w:val="single" w:color="000000" w:sz="4" w:space="0"/>
              <w:left w:val="nil"/>
              <w:bottom w:val="single" w:color="000000" w:sz="4" w:space="0"/>
              <w:right w:val="single" w:color="000000" w:sz="4" w:space="0"/>
            </w:tcBorders>
          </w:tcPr>
          <w:p w14:paraId="5E1BEF9D">
            <w:pPr>
              <w:widowControl/>
              <w:adjustRightInd w:val="0"/>
              <w:rPr>
                <w:rFonts w:hint="eastAsia" w:ascii="宋体" w:hAnsi="宋体" w:cs="宋体"/>
                <w:kern w:val="0"/>
                <w:szCs w:val="21"/>
              </w:rPr>
            </w:pPr>
          </w:p>
        </w:tc>
        <w:tc>
          <w:tcPr>
            <w:tcW w:w="850" w:type="dxa"/>
            <w:tcBorders>
              <w:top w:val="single" w:color="000000" w:sz="4" w:space="0"/>
              <w:left w:val="nil"/>
              <w:bottom w:val="single" w:color="000000" w:sz="4" w:space="0"/>
              <w:right w:val="single" w:color="000000" w:sz="4" w:space="0"/>
            </w:tcBorders>
          </w:tcPr>
          <w:p w14:paraId="6809A733">
            <w:pPr>
              <w:widowControl/>
              <w:adjustRightInd w:val="0"/>
              <w:rPr>
                <w:rFonts w:hint="eastAsia" w:ascii="宋体" w:hAnsi="宋体" w:cs="宋体"/>
                <w:kern w:val="0"/>
                <w:szCs w:val="21"/>
              </w:rPr>
            </w:pPr>
          </w:p>
        </w:tc>
        <w:tc>
          <w:tcPr>
            <w:tcW w:w="851" w:type="dxa"/>
            <w:tcBorders>
              <w:top w:val="single" w:color="000000" w:sz="4" w:space="0"/>
              <w:left w:val="nil"/>
              <w:bottom w:val="single" w:color="000000" w:sz="4" w:space="0"/>
              <w:right w:val="single" w:color="000000" w:sz="4" w:space="0"/>
            </w:tcBorders>
          </w:tcPr>
          <w:p w14:paraId="65D25D85">
            <w:pPr>
              <w:widowControl/>
              <w:adjustRightInd w:val="0"/>
              <w:rPr>
                <w:rFonts w:hint="eastAsia" w:ascii="宋体" w:hAnsi="宋体" w:cs="宋体"/>
                <w:kern w:val="0"/>
                <w:szCs w:val="21"/>
              </w:rPr>
            </w:pPr>
          </w:p>
        </w:tc>
      </w:tr>
      <w:tr w14:paraId="3684BDAD">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65866941">
            <w:pPr>
              <w:widowControl/>
              <w:adjustRightInd w:val="0"/>
              <w:rPr>
                <w:rFonts w:hint="eastAsia" w:ascii="宋体" w:hAnsi="宋体" w:cs="宋体"/>
                <w:kern w:val="0"/>
                <w:szCs w:val="21"/>
              </w:rPr>
            </w:pPr>
          </w:p>
        </w:tc>
        <w:tc>
          <w:tcPr>
            <w:tcW w:w="896" w:type="dxa"/>
            <w:tcBorders>
              <w:top w:val="single" w:color="000000" w:sz="4" w:space="0"/>
              <w:left w:val="nil"/>
              <w:bottom w:val="single" w:color="000000" w:sz="4" w:space="0"/>
              <w:right w:val="single" w:color="000000" w:sz="4" w:space="0"/>
            </w:tcBorders>
          </w:tcPr>
          <w:p w14:paraId="1411A9D8">
            <w:pPr>
              <w:widowControl/>
              <w:adjustRightInd w:val="0"/>
              <w:rPr>
                <w:rFonts w:hint="eastAsia" w:ascii="宋体" w:hAnsi="宋体" w:cs="宋体"/>
                <w:kern w:val="0"/>
                <w:szCs w:val="21"/>
              </w:rPr>
            </w:pPr>
          </w:p>
        </w:tc>
        <w:tc>
          <w:tcPr>
            <w:tcW w:w="663" w:type="dxa"/>
            <w:tcBorders>
              <w:top w:val="single" w:color="000000" w:sz="4" w:space="0"/>
              <w:left w:val="nil"/>
              <w:bottom w:val="single" w:color="000000" w:sz="4" w:space="0"/>
              <w:right w:val="single" w:color="000000" w:sz="4" w:space="0"/>
            </w:tcBorders>
          </w:tcPr>
          <w:p w14:paraId="0ED8B8C7">
            <w:pPr>
              <w:widowControl/>
              <w:adjustRightInd w:val="0"/>
              <w:rPr>
                <w:rFonts w:hint="eastAsia" w:ascii="宋体" w:hAnsi="宋体" w:cs="宋体"/>
                <w:kern w:val="0"/>
                <w:szCs w:val="21"/>
              </w:rPr>
            </w:pPr>
          </w:p>
        </w:tc>
        <w:tc>
          <w:tcPr>
            <w:tcW w:w="709" w:type="dxa"/>
            <w:tcBorders>
              <w:top w:val="single" w:color="000000" w:sz="4" w:space="0"/>
              <w:left w:val="nil"/>
              <w:bottom w:val="single" w:color="000000" w:sz="4" w:space="0"/>
              <w:right w:val="single" w:color="000000" w:sz="4" w:space="0"/>
            </w:tcBorders>
          </w:tcPr>
          <w:p w14:paraId="5D5E549A">
            <w:pPr>
              <w:widowControl/>
              <w:adjustRightInd w:val="0"/>
              <w:rPr>
                <w:rFonts w:hint="eastAsia" w:ascii="宋体" w:hAnsi="宋体" w:cs="宋体"/>
                <w:kern w:val="0"/>
                <w:szCs w:val="21"/>
              </w:rPr>
            </w:pPr>
          </w:p>
        </w:tc>
        <w:tc>
          <w:tcPr>
            <w:tcW w:w="1134" w:type="dxa"/>
            <w:tcBorders>
              <w:top w:val="single" w:color="000000" w:sz="4" w:space="0"/>
              <w:left w:val="nil"/>
              <w:bottom w:val="single" w:color="000000" w:sz="4" w:space="0"/>
              <w:right w:val="single" w:color="000000" w:sz="4" w:space="0"/>
            </w:tcBorders>
          </w:tcPr>
          <w:p w14:paraId="0DF5D18E">
            <w:pPr>
              <w:widowControl/>
              <w:adjustRightInd w:val="0"/>
              <w:rPr>
                <w:rFonts w:hint="eastAsia" w:ascii="宋体" w:hAnsi="宋体" w:cs="宋体"/>
                <w:kern w:val="0"/>
                <w:szCs w:val="21"/>
              </w:rPr>
            </w:pPr>
          </w:p>
        </w:tc>
        <w:tc>
          <w:tcPr>
            <w:tcW w:w="931" w:type="dxa"/>
            <w:tcBorders>
              <w:top w:val="single" w:color="000000" w:sz="4" w:space="0"/>
              <w:left w:val="nil"/>
              <w:bottom w:val="single" w:color="000000" w:sz="4" w:space="0"/>
              <w:right w:val="single" w:color="000000" w:sz="4" w:space="0"/>
            </w:tcBorders>
          </w:tcPr>
          <w:p w14:paraId="6C9F9F20">
            <w:pPr>
              <w:widowControl/>
              <w:adjustRightInd w:val="0"/>
              <w:rPr>
                <w:rFonts w:hint="eastAsia" w:ascii="宋体" w:hAnsi="宋体" w:cs="宋体"/>
                <w:kern w:val="0"/>
                <w:szCs w:val="21"/>
              </w:rPr>
            </w:pPr>
          </w:p>
        </w:tc>
        <w:tc>
          <w:tcPr>
            <w:tcW w:w="1020" w:type="dxa"/>
            <w:tcBorders>
              <w:top w:val="single" w:color="000000" w:sz="4" w:space="0"/>
              <w:left w:val="nil"/>
              <w:bottom w:val="single" w:color="000000" w:sz="4" w:space="0"/>
              <w:right w:val="single" w:color="000000" w:sz="4" w:space="0"/>
            </w:tcBorders>
          </w:tcPr>
          <w:p w14:paraId="0B576374">
            <w:pPr>
              <w:widowControl/>
              <w:adjustRightInd w:val="0"/>
              <w:rPr>
                <w:rFonts w:hint="eastAsia" w:ascii="宋体" w:hAnsi="宋体" w:cs="宋体"/>
                <w:kern w:val="0"/>
                <w:szCs w:val="21"/>
              </w:rPr>
            </w:pPr>
          </w:p>
        </w:tc>
        <w:tc>
          <w:tcPr>
            <w:tcW w:w="994" w:type="dxa"/>
            <w:tcBorders>
              <w:top w:val="single" w:color="000000" w:sz="4" w:space="0"/>
              <w:left w:val="nil"/>
              <w:bottom w:val="single" w:color="000000" w:sz="4" w:space="0"/>
              <w:right w:val="single" w:color="000000" w:sz="4" w:space="0"/>
            </w:tcBorders>
          </w:tcPr>
          <w:p w14:paraId="1775613B">
            <w:pPr>
              <w:widowControl/>
              <w:adjustRightInd w:val="0"/>
              <w:rPr>
                <w:rFonts w:hint="eastAsia" w:ascii="宋体" w:hAnsi="宋体" w:cs="宋体"/>
                <w:kern w:val="0"/>
                <w:szCs w:val="21"/>
              </w:rPr>
            </w:pPr>
          </w:p>
        </w:tc>
        <w:tc>
          <w:tcPr>
            <w:tcW w:w="882" w:type="dxa"/>
            <w:tcBorders>
              <w:top w:val="single" w:color="000000" w:sz="4" w:space="0"/>
              <w:left w:val="nil"/>
              <w:bottom w:val="single" w:color="000000" w:sz="4" w:space="0"/>
              <w:right w:val="single" w:color="000000" w:sz="4" w:space="0"/>
            </w:tcBorders>
          </w:tcPr>
          <w:p w14:paraId="1EE22DAB">
            <w:pPr>
              <w:widowControl/>
              <w:adjustRightInd w:val="0"/>
              <w:rPr>
                <w:rFonts w:hint="eastAsia" w:ascii="宋体" w:hAnsi="宋体" w:cs="宋体"/>
                <w:kern w:val="0"/>
                <w:szCs w:val="21"/>
              </w:rPr>
            </w:pPr>
          </w:p>
        </w:tc>
        <w:tc>
          <w:tcPr>
            <w:tcW w:w="850" w:type="dxa"/>
            <w:tcBorders>
              <w:top w:val="single" w:color="000000" w:sz="4" w:space="0"/>
              <w:left w:val="nil"/>
              <w:bottom w:val="single" w:color="000000" w:sz="4" w:space="0"/>
              <w:right w:val="single" w:color="000000" w:sz="4" w:space="0"/>
            </w:tcBorders>
          </w:tcPr>
          <w:p w14:paraId="44C5F9C8">
            <w:pPr>
              <w:widowControl/>
              <w:adjustRightInd w:val="0"/>
              <w:rPr>
                <w:rFonts w:hint="eastAsia" w:ascii="宋体" w:hAnsi="宋体" w:cs="宋体"/>
                <w:kern w:val="0"/>
                <w:szCs w:val="21"/>
              </w:rPr>
            </w:pPr>
          </w:p>
        </w:tc>
        <w:tc>
          <w:tcPr>
            <w:tcW w:w="851" w:type="dxa"/>
            <w:tcBorders>
              <w:top w:val="single" w:color="000000" w:sz="4" w:space="0"/>
              <w:left w:val="nil"/>
              <w:bottom w:val="single" w:color="000000" w:sz="4" w:space="0"/>
              <w:right w:val="single" w:color="000000" w:sz="4" w:space="0"/>
            </w:tcBorders>
          </w:tcPr>
          <w:p w14:paraId="3E99510D">
            <w:pPr>
              <w:widowControl/>
              <w:adjustRightInd w:val="0"/>
              <w:rPr>
                <w:rFonts w:hint="eastAsia" w:ascii="宋体" w:hAnsi="宋体" w:cs="宋体"/>
                <w:kern w:val="0"/>
                <w:szCs w:val="21"/>
              </w:rPr>
            </w:pPr>
          </w:p>
        </w:tc>
      </w:tr>
    </w:tbl>
    <w:p w14:paraId="0ADDAA35">
      <w:pPr>
        <w:widowControl/>
        <w:shd w:val="clear" w:color="auto" w:fill="FFFFFF"/>
        <w:spacing w:line="360" w:lineRule="auto"/>
        <w:jc w:val="left"/>
        <w:rPr>
          <w:rFonts w:hint="eastAsia" w:ascii="宋体" w:hAnsi="宋体" w:cs="宋体"/>
          <w:kern w:val="0"/>
          <w:szCs w:val="21"/>
        </w:rPr>
      </w:pPr>
      <w:r>
        <w:rPr>
          <w:rFonts w:hint="eastAsia" w:ascii="宋体" w:hAnsi="宋体" w:cs="宋体"/>
          <w:kern w:val="0"/>
          <w:szCs w:val="21"/>
        </w:rPr>
        <w:t>投标单位（加盖电子公章）：</w:t>
      </w:r>
      <w:r>
        <w:rPr>
          <w:rFonts w:hint="eastAsia" w:ascii="宋体" w:hAnsi="宋体" w:cs="宋体"/>
          <w:kern w:val="0"/>
          <w:szCs w:val="21"/>
          <w:u w:val="single"/>
        </w:rPr>
        <w:t>                             </w:t>
      </w:r>
    </w:p>
    <w:p w14:paraId="3DAB16B9">
      <w:pPr>
        <w:widowControl/>
        <w:adjustRightInd w:val="0"/>
        <w:rPr>
          <w:rFonts w:hint="eastAsia" w:ascii="宋体" w:hAnsi="宋体" w:cs="宋体"/>
          <w:kern w:val="0"/>
          <w:szCs w:val="21"/>
        </w:rPr>
      </w:pPr>
    </w:p>
    <w:p w14:paraId="496F9409">
      <w:pPr>
        <w:widowControl/>
        <w:adjustRightInd w:val="0"/>
        <w:rPr>
          <w:rFonts w:hint="eastAsia" w:ascii="宋体" w:hAnsi="宋体" w:cs="宋体"/>
          <w:b/>
          <w:bCs/>
          <w:kern w:val="0"/>
          <w:szCs w:val="21"/>
        </w:rPr>
      </w:pPr>
    </w:p>
    <w:p w14:paraId="1D2D2DAB">
      <w:pPr>
        <w:widowControl/>
        <w:adjustRightInd w:val="0"/>
        <w:spacing w:line="360" w:lineRule="auto"/>
        <w:rPr>
          <w:rFonts w:hint="eastAsia" w:ascii="宋体" w:hAnsi="宋体" w:cs="宋体"/>
          <w:b/>
          <w:bCs/>
          <w:kern w:val="0"/>
          <w:sz w:val="24"/>
        </w:rPr>
      </w:pPr>
      <w:r>
        <w:rPr>
          <w:rFonts w:hint="eastAsia" w:ascii="宋体" w:hAnsi="宋体" w:cs="宋体"/>
          <w:b/>
          <w:bCs/>
          <w:kern w:val="0"/>
          <w:sz w:val="24"/>
        </w:rPr>
        <w:br w:type="page"/>
      </w:r>
      <w:r>
        <w:rPr>
          <w:rFonts w:hint="eastAsia" w:ascii="宋体" w:hAnsi="宋体" w:cs="宋体"/>
          <w:b/>
          <w:bCs/>
          <w:kern w:val="0"/>
          <w:sz w:val="24"/>
        </w:rPr>
        <w:t>附件九、 投标人类似业绩情况表</w:t>
      </w:r>
    </w:p>
    <w:p w14:paraId="49A8F586">
      <w:pPr>
        <w:widowControl/>
        <w:adjustRightInd w:val="0"/>
        <w:spacing w:line="360" w:lineRule="auto"/>
        <w:jc w:val="center"/>
        <w:rPr>
          <w:rFonts w:hint="eastAsia" w:ascii="宋体" w:hAnsi="宋体" w:cs="宋体"/>
          <w:b/>
          <w:bCs/>
          <w:kern w:val="0"/>
          <w:sz w:val="24"/>
        </w:rPr>
      </w:pPr>
    </w:p>
    <w:p w14:paraId="05570DEF">
      <w:pPr>
        <w:widowControl/>
        <w:adjustRightInd w:val="0"/>
        <w:spacing w:line="360" w:lineRule="auto"/>
        <w:jc w:val="center"/>
        <w:rPr>
          <w:rFonts w:hint="eastAsia" w:ascii="宋体" w:hAnsi="宋体" w:cs="宋体"/>
          <w:b/>
          <w:bCs/>
          <w:kern w:val="0"/>
          <w:sz w:val="24"/>
        </w:rPr>
      </w:pPr>
      <w:r>
        <w:rPr>
          <w:rFonts w:hint="eastAsia" w:ascii="宋体" w:hAnsi="宋体" w:cs="宋体"/>
          <w:b/>
          <w:bCs/>
          <w:kern w:val="0"/>
          <w:sz w:val="24"/>
        </w:rPr>
        <w:t>投标人类似业绩情况表</w:t>
      </w:r>
    </w:p>
    <w:tbl>
      <w:tblPr>
        <w:tblStyle w:val="46"/>
        <w:tblW w:w="9470" w:type="dxa"/>
        <w:jc w:val="center"/>
        <w:tblLayout w:type="fixed"/>
        <w:tblCellMar>
          <w:top w:w="0" w:type="dxa"/>
          <w:left w:w="108" w:type="dxa"/>
          <w:bottom w:w="0" w:type="dxa"/>
          <w:right w:w="108" w:type="dxa"/>
        </w:tblCellMar>
      </w:tblPr>
      <w:tblGrid>
        <w:gridCol w:w="682"/>
        <w:gridCol w:w="1559"/>
        <w:gridCol w:w="1418"/>
        <w:gridCol w:w="992"/>
        <w:gridCol w:w="1034"/>
        <w:gridCol w:w="1517"/>
        <w:gridCol w:w="1134"/>
        <w:gridCol w:w="1134"/>
      </w:tblGrid>
      <w:tr w14:paraId="0CDC3096">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7E124B98">
            <w:pPr>
              <w:widowControl/>
              <w:spacing w:line="400" w:lineRule="atLeast"/>
              <w:jc w:val="center"/>
              <w:rPr>
                <w:rFonts w:hint="eastAsia" w:ascii="宋体" w:hAnsi="宋体" w:cs="宋体"/>
                <w:kern w:val="0"/>
                <w:szCs w:val="21"/>
              </w:rPr>
            </w:pPr>
            <w:r>
              <w:rPr>
                <w:rFonts w:hint="eastAsia" w:ascii="宋体" w:hAnsi="宋体" w:cs="宋体"/>
                <w:kern w:val="0"/>
                <w:szCs w:val="21"/>
              </w:rPr>
              <w:t>序号</w:t>
            </w:r>
          </w:p>
        </w:tc>
        <w:tc>
          <w:tcPr>
            <w:tcW w:w="1559" w:type="dxa"/>
            <w:tcBorders>
              <w:top w:val="single" w:color="000000" w:sz="4" w:space="0"/>
              <w:left w:val="nil"/>
              <w:bottom w:val="single" w:color="000000" w:sz="4" w:space="0"/>
              <w:right w:val="single" w:color="000000" w:sz="4" w:space="0"/>
            </w:tcBorders>
            <w:vAlign w:val="center"/>
          </w:tcPr>
          <w:p w14:paraId="4A6C27C4">
            <w:pPr>
              <w:widowControl/>
              <w:spacing w:line="400" w:lineRule="atLeast"/>
              <w:jc w:val="center"/>
              <w:rPr>
                <w:rFonts w:hint="eastAsia" w:ascii="宋体" w:hAnsi="宋体" w:cs="宋体"/>
                <w:kern w:val="0"/>
                <w:szCs w:val="21"/>
              </w:rPr>
            </w:pPr>
            <w:r>
              <w:rPr>
                <w:rFonts w:hint="eastAsia" w:ascii="宋体" w:hAnsi="宋体" w:cs="宋体"/>
                <w:kern w:val="0"/>
                <w:szCs w:val="21"/>
              </w:rPr>
              <w:t>项目名称</w:t>
            </w:r>
          </w:p>
        </w:tc>
        <w:tc>
          <w:tcPr>
            <w:tcW w:w="1418" w:type="dxa"/>
            <w:tcBorders>
              <w:top w:val="single" w:color="000000" w:sz="4" w:space="0"/>
              <w:left w:val="nil"/>
              <w:bottom w:val="single" w:color="000000" w:sz="4" w:space="0"/>
              <w:right w:val="single" w:color="000000" w:sz="4" w:space="0"/>
            </w:tcBorders>
            <w:vAlign w:val="center"/>
          </w:tcPr>
          <w:p w14:paraId="270F124E">
            <w:pPr>
              <w:widowControl/>
              <w:spacing w:line="400" w:lineRule="atLeast"/>
              <w:jc w:val="center"/>
              <w:rPr>
                <w:rFonts w:hint="eastAsia" w:ascii="宋体" w:hAnsi="宋体" w:cs="宋体"/>
                <w:kern w:val="0"/>
                <w:szCs w:val="21"/>
              </w:rPr>
            </w:pPr>
            <w:r>
              <w:rPr>
                <w:rFonts w:hint="eastAsia" w:ascii="宋体" w:hAnsi="宋体" w:cs="宋体"/>
                <w:kern w:val="0"/>
                <w:szCs w:val="21"/>
              </w:rPr>
              <w:t>业主单位</w:t>
            </w:r>
          </w:p>
        </w:tc>
        <w:tc>
          <w:tcPr>
            <w:tcW w:w="992" w:type="dxa"/>
            <w:tcBorders>
              <w:top w:val="single" w:color="000000" w:sz="4" w:space="0"/>
              <w:left w:val="nil"/>
              <w:bottom w:val="single" w:color="000000" w:sz="4" w:space="0"/>
              <w:right w:val="single" w:color="000000" w:sz="4" w:space="0"/>
            </w:tcBorders>
            <w:vAlign w:val="center"/>
          </w:tcPr>
          <w:p w14:paraId="496E43A4">
            <w:pPr>
              <w:widowControl/>
              <w:spacing w:line="400" w:lineRule="atLeast"/>
              <w:jc w:val="center"/>
              <w:rPr>
                <w:rFonts w:hint="eastAsia" w:ascii="宋体" w:hAnsi="宋体" w:cs="宋体"/>
                <w:kern w:val="0"/>
                <w:szCs w:val="21"/>
              </w:rPr>
            </w:pPr>
            <w:r>
              <w:rPr>
                <w:rFonts w:hint="eastAsia" w:ascii="宋体" w:hAnsi="宋体" w:cs="宋体"/>
                <w:kern w:val="0"/>
                <w:szCs w:val="21"/>
              </w:rPr>
              <w:t>项目</w:t>
            </w:r>
          </w:p>
          <w:p w14:paraId="4D437B0E">
            <w:pPr>
              <w:widowControl/>
              <w:spacing w:line="400" w:lineRule="atLeast"/>
              <w:jc w:val="center"/>
              <w:rPr>
                <w:rFonts w:hint="eastAsia" w:ascii="宋体" w:hAnsi="宋体" w:cs="宋体"/>
                <w:kern w:val="0"/>
                <w:szCs w:val="21"/>
              </w:rPr>
            </w:pPr>
            <w:r>
              <w:rPr>
                <w:rFonts w:hint="eastAsia" w:ascii="宋体" w:hAnsi="宋体" w:cs="宋体"/>
                <w:kern w:val="0"/>
                <w:szCs w:val="21"/>
              </w:rPr>
              <w:t>规模</w:t>
            </w:r>
          </w:p>
        </w:tc>
        <w:tc>
          <w:tcPr>
            <w:tcW w:w="1034" w:type="dxa"/>
            <w:tcBorders>
              <w:top w:val="single" w:color="000000" w:sz="4" w:space="0"/>
              <w:left w:val="nil"/>
              <w:bottom w:val="single" w:color="000000" w:sz="4" w:space="0"/>
              <w:right w:val="single" w:color="000000" w:sz="4" w:space="0"/>
            </w:tcBorders>
            <w:vAlign w:val="center"/>
          </w:tcPr>
          <w:p w14:paraId="56A72578">
            <w:pPr>
              <w:widowControl/>
              <w:spacing w:line="400" w:lineRule="atLeast"/>
              <w:jc w:val="center"/>
              <w:rPr>
                <w:rFonts w:hint="eastAsia" w:ascii="宋体" w:hAnsi="宋体" w:cs="宋体"/>
                <w:kern w:val="0"/>
                <w:szCs w:val="21"/>
              </w:rPr>
            </w:pPr>
            <w:r>
              <w:rPr>
                <w:rFonts w:hint="eastAsia" w:ascii="宋体" w:hAnsi="宋体" w:cs="宋体"/>
                <w:kern w:val="0"/>
                <w:szCs w:val="21"/>
              </w:rPr>
              <w:t>获奖</w:t>
            </w:r>
          </w:p>
          <w:p w14:paraId="41EBD712">
            <w:pPr>
              <w:widowControl/>
              <w:spacing w:line="400" w:lineRule="atLeast"/>
              <w:jc w:val="center"/>
              <w:rPr>
                <w:rFonts w:hint="eastAsia" w:ascii="宋体" w:hAnsi="宋体" w:cs="宋体"/>
                <w:kern w:val="0"/>
                <w:szCs w:val="21"/>
              </w:rPr>
            </w:pPr>
            <w:r>
              <w:rPr>
                <w:rFonts w:hint="eastAsia" w:ascii="宋体" w:hAnsi="宋体" w:cs="宋体"/>
                <w:kern w:val="0"/>
                <w:szCs w:val="21"/>
              </w:rPr>
              <w:t>情况</w:t>
            </w:r>
          </w:p>
        </w:tc>
        <w:tc>
          <w:tcPr>
            <w:tcW w:w="1517" w:type="dxa"/>
            <w:tcBorders>
              <w:top w:val="single" w:color="000000" w:sz="4" w:space="0"/>
              <w:left w:val="nil"/>
              <w:bottom w:val="single" w:color="000000" w:sz="4" w:space="0"/>
              <w:right w:val="single" w:color="000000" w:sz="4" w:space="0"/>
            </w:tcBorders>
          </w:tcPr>
          <w:p w14:paraId="0FF08F61">
            <w:pPr>
              <w:widowControl/>
              <w:spacing w:line="400" w:lineRule="atLeast"/>
              <w:jc w:val="center"/>
              <w:rPr>
                <w:rFonts w:hint="eastAsia" w:ascii="宋体" w:hAnsi="宋体" w:cs="宋体"/>
                <w:kern w:val="0"/>
                <w:szCs w:val="21"/>
              </w:rPr>
            </w:pPr>
            <w:r>
              <w:rPr>
                <w:rFonts w:hint="eastAsia" w:ascii="宋体" w:hAnsi="宋体" w:cs="宋体"/>
                <w:kern w:val="0"/>
                <w:szCs w:val="21"/>
              </w:rPr>
              <w:t>签约及服务</w:t>
            </w:r>
          </w:p>
          <w:p w14:paraId="0B293B7A">
            <w:pPr>
              <w:widowControl/>
              <w:spacing w:line="400" w:lineRule="atLeast"/>
              <w:jc w:val="center"/>
              <w:rPr>
                <w:rFonts w:hint="eastAsia" w:ascii="宋体" w:hAnsi="宋体" w:cs="宋体"/>
                <w:kern w:val="0"/>
                <w:szCs w:val="21"/>
              </w:rPr>
            </w:pPr>
            <w:r>
              <w:rPr>
                <w:rFonts w:hint="eastAsia" w:ascii="宋体" w:hAnsi="宋体" w:cs="宋体"/>
                <w:kern w:val="0"/>
                <w:szCs w:val="21"/>
              </w:rPr>
              <w:t>时间</w:t>
            </w:r>
          </w:p>
        </w:tc>
        <w:tc>
          <w:tcPr>
            <w:tcW w:w="1134" w:type="dxa"/>
            <w:tcBorders>
              <w:top w:val="single" w:color="000000" w:sz="4" w:space="0"/>
              <w:left w:val="nil"/>
              <w:bottom w:val="single" w:color="000000" w:sz="4" w:space="0"/>
              <w:right w:val="single" w:color="000000" w:sz="4" w:space="0"/>
            </w:tcBorders>
          </w:tcPr>
          <w:p w14:paraId="4D6E188C">
            <w:pPr>
              <w:widowControl/>
              <w:spacing w:line="400" w:lineRule="atLeast"/>
              <w:jc w:val="center"/>
              <w:rPr>
                <w:rFonts w:hint="eastAsia" w:ascii="宋体" w:hAnsi="宋体" w:cs="宋体"/>
                <w:kern w:val="0"/>
                <w:szCs w:val="21"/>
              </w:rPr>
            </w:pPr>
            <w:r>
              <w:rPr>
                <w:rFonts w:hint="eastAsia" w:ascii="宋体" w:hAnsi="宋体" w:cs="宋体"/>
                <w:kern w:val="0"/>
                <w:szCs w:val="21"/>
              </w:rPr>
              <w:t>联系人及电话</w:t>
            </w:r>
          </w:p>
        </w:tc>
        <w:tc>
          <w:tcPr>
            <w:tcW w:w="1134" w:type="dxa"/>
            <w:tcBorders>
              <w:top w:val="single" w:color="000000" w:sz="4" w:space="0"/>
              <w:left w:val="nil"/>
              <w:bottom w:val="single" w:color="000000" w:sz="4" w:space="0"/>
              <w:right w:val="single" w:color="000000" w:sz="4" w:space="0"/>
            </w:tcBorders>
          </w:tcPr>
          <w:p w14:paraId="687C3C6C">
            <w:pPr>
              <w:widowControl/>
              <w:spacing w:line="400" w:lineRule="atLeast"/>
              <w:jc w:val="center"/>
              <w:rPr>
                <w:rFonts w:hint="eastAsia" w:ascii="宋体" w:hAnsi="宋体" w:cs="宋体"/>
                <w:kern w:val="0"/>
                <w:szCs w:val="21"/>
              </w:rPr>
            </w:pPr>
            <w:r>
              <w:rPr>
                <w:rFonts w:hint="eastAsia" w:ascii="宋体" w:hAnsi="宋体" w:cs="宋体"/>
                <w:kern w:val="0"/>
                <w:szCs w:val="21"/>
              </w:rPr>
              <w:t>备注</w:t>
            </w:r>
          </w:p>
        </w:tc>
      </w:tr>
      <w:tr w14:paraId="5422482E">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060CF323">
            <w:pPr>
              <w:widowControl/>
              <w:spacing w:line="400" w:lineRule="atLeast"/>
              <w:jc w:val="center"/>
              <w:rPr>
                <w:rFonts w:hint="eastAsia" w:ascii="宋体" w:hAnsi="宋体" w:cs="宋体"/>
                <w:kern w:val="0"/>
                <w:szCs w:val="21"/>
              </w:rPr>
            </w:pPr>
          </w:p>
        </w:tc>
        <w:tc>
          <w:tcPr>
            <w:tcW w:w="1559" w:type="dxa"/>
            <w:tcBorders>
              <w:top w:val="single" w:color="000000" w:sz="4" w:space="0"/>
              <w:left w:val="nil"/>
              <w:bottom w:val="single" w:color="000000" w:sz="4" w:space="0"/>
              <w:right w:val="single" w:color="000000" w:sz="4" w:space="0"/>
            </w:tcBorders>
          </w:tcPr>
          <w:p w14:paraId="457E2624">
            <w:pPr>
              <w:widowControl/>
              <w:spacing w:line="400" w:lineRule="atLeast"/>
              <w:jc w:val="center"/>
              <w:rPr>
                <w:rFonts w:hint="eastAsia" w:ascii="宋体" w:hAnsi="宋体" w:cs="宋体"/>
                <w:kern w:val="0"/>
                <w:szCs w:val="21"/>
              </w:rPr>
            </w:pPr>
          </w:p>
        </w:tc>
        <w:tc>
          <w:tcPr>
            <w:tcW w:w="1418" w:type="dxa"/>
            <w:tcBorders>
              <w:top w:val="single" w:color="000000" w:sz="4" w:space="0"/>
              <w:left w:val="nil"/>
              <w:bottom w:val="single" w:color="000000" w:sz="4" w:space="0"/>
              <w:right w:val="single" w:color="000000" w:sz="4" w:space="0"/>
            </w:tcBorders>
          </w:tcPr>
          <w:p w14:paraId="7D81511D">
            <w:pPr>
              <w:widowControl/>
              <w:spacing w:line="400" w:lineRule="atLeast"/>
              <w:ind w:firstLine="120"/>
              <w:rPr>
                <w:rFonts w:hint="eastAsia" w:ascii="宋体" w:hAnsi="宋体" w:cs="宋体"/>
                <w:kern w:val="0"/>
                <w:szCs w:val="21"/>
              </w:rPr>
            </w:pPr>
          </w:p>
        </w:tc>
        <w:tc>
          <w:tcPr>
            <w:tcW w:w="992" w:type="dxa"/>
            <w:tcBorders>
              <w:top w:val="single" w:color="000000" w:sz="4" w:space="0"/>
              <w:left w:val="nil"/>
              <w:bottom w:val="single" w:color="000000" w:sz="4" w:space="0"/>
              <w:right w:val="single" w:color="000000" w:sz="4" w:space="0"/>
            </w:tcBorders>
          </w:tcPr>
          <w:p w14:paraId="298AADB6">
            <w:pPr>
              <w:widowControl/>
              <w:spacing w:line="400" w:lineRule="atLeast"/>
              <w:jc w:val="center"/>
              <w:rPr>
                <w:rFonts w:hint="eastAsia" w:ascii="宋体" w:hAnsi="宋体" w:cs="宋体"/>
                <w:kern w:val="0"/>
                <w:szCs w:val="21"/>
              </w:rPr>
            </w:pPr>
          </w:p>
        </w:tc>
        <w:tc>
          <w:tcPr>
            <w:tcW w:w="1034" w:type="dxa"/>
            <w:tcBorders>
              <w:top w:val="single" w:color="000000" w:sz="4" w:space="0"/>
              <w:left w:val="nil"/>
              <w:bottom w:val="single" w:color="000000" w:sz="4" w:space="0"/>
              <w:right w:val="single" w:color="000000" w:sz="4" w:space="0"/>
            </w:tcBorders>
          </w:tcPr>
          <w:p w14:paraId="78ED1279">
            <w:pPr>
              <w:widowControl/>
              <w:spacing w:line="400" w:lineRule="atLeast"/>
              <w:jc w:val="center"/>
              <w:rPr>
                <w:rFonts w:hint="eastAsia" w:ascii="宋体" w:hAnsi="宋体" w:cs="宋体"/>
                <w:kern w:val="0"/>
                <w:szCs w:val="21"/>
              </w:rPr>
            </w:pPr>
          </w:p>
        </w:tc>
        <w:tc>
          <w:tcPr>
            <w:tcW w:w="1517" w:type="dxa"/>
            <w:tcBorders>
              <w:top w:val="single" w:color="000000" w:sz="4" w:space="0"/>
              <w:left w:val="nil"/>
              <w:bottom w:val="single" w:color="000000" w:sz="4" w:space="0"/>
              <w:right w:val="single" w:color="000000" w:sz="4" w:space="0"/>
            </w:tcBorders>
          </w:tcPr>
          <w:p w14:paraId="33BD1C3F">
            <w:pPr>
              <w:widowControl/>
              <w:spacing w:line="400" w:lineRule="atLeast"/>
              <w:jc w:val="center"/>
              <w:rPr>
                <w:rFonts w:hint="eastAsia" w:ascii="宋体" w:hAnsi="宋体" w:cs="宋体"/>
                <w:kern w:val="0"/>
                <w:szCs w:val="21"/>
              </w:rPr>
            </w:pPr>
          </w:p>
        </w:tc>
        <w:tc>
          <w:tcPr>
            <w:tcW w:w="1134" w:type="dxa"/>
            <w:tcBorders>
              <w:top w:val="single" w:color="000000" w:sz="4" w:space="0"/>
              <w:left w:val="nil"/>
              <w:bottom w:val="single" w:color="000000" w:sz="4" w:space="0"/>
              <w:right w:val="single" w:color="000000" w:sz="4" w:space="0"/>
            </w:tcBorders>
          </w:tcPr>
          <w:p w14:paraId="6672EBD9">
            <w:pPr>
              <w:widowControl/>
              <w:spacing w:line="400" w:lineRule="atLeast"/>
              <w:jc w:val="center"/>
              <w:rPr>
                <w:rFonts w:hint="eastAsia" w:ascii="宋体" w:hAnsi="宋体" w:cs="宋体"/>
                <w:kern w:val="0"/>
                <w:szCs w:val="21"/>
              </w:rPr>
            </w:pPr>
          </w:p>
        </w:tc>
        <w:tc>
          <w:tcPr>
            <w:tcW w:w="1134" w:type="dxa"/>
            <w:tcBorders>
              <w:top w:val="single" w:color="000000" w:sz="4" w:space="0"/>
              <w:left w:val="nil"/>
              <w:bottom w:val="single" w:color="000000" w:sz="4" w:space="0"/>
              <w:right w:val="single" w:color="000000" w:sz="4" w:space="0"/>
            </w:tcBorders>
          </w:tcPr>
          <w:p w14:paraId="28F46D2B">
            <w:pPr>
              <w:widowControl/>
              <w:spacing w:line="400" w:lineRule="atLeast"/>
              <w:jc w:val="center"/>
              <w:rPr>
                <w:rFonts w:hint="eastAsia" w:ascii="宋体" w:hAnsi="宋体" w:cs="宋体"/>
                <w:kern w:val="0"/>
                <w:szCs w:val="21"/>
              </w:rPr>
            </w:pPr>
          </w:p>
        </w:tc>
      </w:tr>
      <w:tr w14:paraId="2867DA42">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76CA3096">
            <w:pPr>
              <w:widowControl/>
              <w:spacing w:line="400" w:lineRule="atLeast"/>
              <w:jc w:val="center"/>
              <w:rPr>
                <w:rFonts w:hint="eastAsia" w:ascii="宋体" w:hAnsi="宋体" w:cs="宋体"/>
                <w:kern w:val="0"/>
                <w:szCs w:val="21"/>
              </w:rPr>
            </w:pPr>
          </w:p>
        </w:tc>
        <w:tc>
          <w:tcPr>
            <w:tcW w:w="1559" w:type="dxa"/>
            <w:tcBorders>
              <w:top w:val="single" w:color="000000" w:sz="4" w:space="0"/>
              <w:left w:val="nil"/>
              <w:bottom w:val="single" w:color="000000" w:sz="4" w:space="0"/>
              <w:right w:val="single" w:color="000000" w:sz="4" w:space="0"/>
            </w:tcBorders>
          </w:tcPr>
          <w:p w14:paraId="56AEC732">
            <w:pPr>
              <w:widowControl/>
              <w:spacing w:line="400" w:lineRule="atLeast"/>
              <w:jc w:val="center"/>
              <w:rPr>
                <w:rFonts w:hint="eastAsia" w:ascii="宋体" w:hAnsi="宋体" w:cs="宋体"/>
                <w:kern w:val="0"/>
                <w:szCs w:val="21"/>
              </w:rPr>
            </w:pPr>
          </w:p>
        </w:tc>
        <w:tc>
          <w:tcPr>
            <w:tcW w:w="1418" w:type="dxa"/>
            <w:tcBorders>
              <w:top w:val="single" w:color="000000" w:sz="4" w:space="0"/>
              <w:left w:val="nil"/>
              <w:bottom w:val="single" w:color="000000" w:sz="4" w:space="0"/>
              <w:right w:val="single" w:color="000000" w:sz="4" w:space="0"/>
            </w:tcBorders>
          </w:tcPr>
          <w:p w14:paraId="5ED778F6">
            <w:pPr>
              <w:widowControl/>
              <w:spacing w:line="400" w:lineRule="atLeast"/>
              <w:jc w:val="center"/>
              <w:rPr>
                <w:rFonts w:hint="eastAsia" w:ascii="宋体" w:hAnsi="宋体" w:cs="宋体"/>
                <w:kern w:val="0"/>
                <w:szCs w:val="21"/>
              </w:rPr>
            </w:pPr>
          </w:p>
        </w:tc>
        <w:tc>
          <w:tcPr>
            <w:tcW w:w="992" w:type="dxa"/>
            <w:tcBorders>
              <w:top w:val="single" w:color="000000" w:sz="4" w:space="0"/>
              <w:left w:val="nil"/>
              <w:bottom w:val="single" w:color="000000" w:sz="4" w:space="0"/>
              <w:right w:val="single" w:color="000000" w:sz="4" w:space="0"/>
            </w:tcBorders>
          </w:tcPr>
          <w:p w14:paraId="1A31944F">
            <w:pPr>
              <w:widowControl/>
              <w:spacing w:line="400" w:lineRule="atLeast"/>
              <w:jc w:val="center"/>
              <w:rPr>
                <w:rFonts w:hint="eastAsia" w:ascii="宋体" w:hAnsi="宋体" w:cs="宋体"/>
                <w:kern w:val="0"/>
                <w:szCs w:val="21"/>
              </w:rPr>
            </w:pPr>
          </w:p>
        </w:tc>
        <w:tc>
          <w:tcPr>
            <w:tcW w:w="1034" w:type="dxa"/>
            <w:tcBorders>
              <w:top w:val="single" w:color="000000" w:sz="4" w:space="0"/>
              <w:left w:val="nil"/>
              <w:bottom w:val="single" w:color="000000" w:sz="4" w:space="0"/>
              <w:right w:val="single" w:color="000000" w:sz="4" w:space="0"/>
            </w:tcBorders>
          </w:tcPr>
          <w:p w14:paraId="21A19794">
            <w:pPr>
              <w:widowControl/>
              <w:spacing w:line="400" w:lineRule="atLeast"/>
              <w:jc w:val="center"/>
              <w:rPr>
                <w:rFonts w:hint="eastAsia" w:ascii="宋体" w:hAnsi="宋体" w:cs="宋体"/>
                <w:kern w:val="0"/>
                <w:szCs w:val="21"/>
              </w:rPr>
            </w:pPr>
          </w:p>
        </w:tc>
        <w:tc>
          <w:tcPr>
            <w:tcW w:w="1517" w:type="dxa"/>
            <w:tcBorders>
              <w:top w:val="single" w:color="000000" w:sz="4" w:space="0"/>
              <w:left w:val="nil"/>
              <w:bottom w:val="single" w:color="000000" w:sz="4" w:space="0"/>
              <w:right w:val="single" w:color="000000" w:sz="4" w:space="0"/>
            </w:tcBorders>
          </w:tcPr>
          <w:p w14:paraId="07E8C67F">
            <w:pPr>
              <w:widowControl/>
              <w:spacing w:line="400" w:lineRule="atLeast"/>
              <w:jc w:val="center"/>
              <w:rPr>
                <w:rFonts w:hint="eastAsia" w:ascii="宋体" w:hAnsi="宋体" w:cs="宋体"/>
                <w:kern w:val="0"/>
                <w:szCs w:val="21"/>
              </w:rPr>
            </w:pPr>
          </w:p>
        </w:tc>
        <w:tc>
          <w:tcPr>
            <w:tcW w:w="1134" w:type="dxa"/>
            <w:tcBorders>
              <w:top w:val="single" w:color="000000" w:sz="4" w:space="0"/>
              <w:left w:val="nil"/>
              <w:bottom w:val="single" w:color="000000" w:sz="4" w:space="0"/>
              <w:right w:val="single" w:color="000000" w:sz="4" w:space="0"/>
            </w:tcBorders>
          </w:tcPr>
          <w:p w14:paraId="415059A5">
            <w:pPr>
              <w:widowControl/>
              <w:spacing w:line="400" w:lineRule="atLeast"/>
              <w:jc w:val="center"/>
              <w:rPr>
                <w:rFonts w:hint="eastAsia" w:ascii="宋体" w:hAnsi="宋体" w:cs="宋体"/>
                <w:kern w:val="0"/>
                <w:szCs w:val="21"/>
              </w:rPr>
            </w:pPr>
          </w:p>
        </w:tc>
        <w:tc>
          <w:tcPr>
            <w:tcW w:w="1134" w:type="dxa"/>
            <w:tcBorders>
              <w:top w:val="single" w:color="000000" w:sz="4" w:space="0"/>
              <w:left w:val="nil"/>
              <w:bottom w:val="single" w:color="000000" w:sz="4" w:space="0"/>
              <w:right w:val="single" w:color="000000" w:sz="4" w:space="0"/>
            </w:tcBorders>
          </w:tcPr>
          <w:p w14:paraId="74E2C8C8">
            <w:pPr>
              <w:widowControl/>
              <w:spacing w:line="400" w:lineRule="atLeast"/>
              <w:jc w:val="center"/>
              <w:rPr>
                <w:rFonts w:hint="eastAsia" w:ascii="宋体" w:hAnsi="宋体" w:cs="宋体"/>
                <w:kern w:val="0"/>
                <w:szCs w:val="21"/>
              </w:rPr>
            </w:pPr>
          </w:p>
        </w:tc>
      </w:tr>
      <w:tr w14:paraId="69374CD6">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11B6B886">
            <w:pPr>
              <w:widowControl/>
              <w:spacing w:line="400" w:lineRule="atLeast"/>
              <w:jc w:val="center"/>
              <w:rPr>
                <w:rFonts w:hint="eastAsia" w:ascii="宋体" w:hAnsi="宋体" w:cs="宋体"/>
                <w:kern w:val="0"/>
                <w:szCs w:val="21"/>
              </w:rPr>
            </w:pPr>
          </w:p>
        </w:tc>
        <w:tc>
          <w:tcPr>
            <w:tcW w:w="1559" w:type="dxa"/>
            <w:tcBorders>
              <w:top w:val="single" w:color="000000" w:sz="4" w:space="0"/>
              <w:left w:val="nil"/>
              <w:bottom w:val="single" w:color="000000" w:sz="4" w:space="0"/>
              <w:right w:val="single" w:color="000000" w:sz="4" w:space="0"/>
            </w:tcBorders>
          </w:tcPr>
          <w:p w14:paraId="275F4E2A">
            <w:pPr>
              <w:widowControl/>
              <w:spacing w:line="400" w:lineRule="atLeast"/>
              <w:jc w:val="center"/>
              <w:rPr>
                <w:rFonts w:hint="eastAsia" w:ascii="宋体" w:hAnsi="宋体" w:cs="宋体"/>
                <w:kern w:val="0"/>
                <w:szCs w:val="21"/>
              </w:rPr>
            </w:pPr>
          </w:p>
        </w:tc>
        <w:tc>
          <w:tcPr>
            <w:tcW w:w="1418" w:type="dxa"/>
            <w:tcBorders>
              <w:top w:val="single" w:color="000000" w:sz="4" w:space="0"/>
              <w:left w:val="nil"/>
              <w:bottom w:val="single" w:color="000000" w:sz="4" w:space="0"/>
              <w:right w:val="single" w:color="000000" w:sz="4" w:space="0"/>
            </w:tcBorders>
          </w:tcPr>
          <w:p w14:paraId="22B21E34">
            <w:pPr>
              <w:widowControl/>
              <w:spacing w:line="400" w:lineRule="atLeast"/>
              <w:jc w:val="center"/>
              <w:rPr>
                <w:rFonts w:hint="eastAsia" w:ascii="宋体" w:hAnsi="宋体" w:cs="宋体"/>
                <w:kern w:val="0"/>
                <w:szCs w:val="21"/>
              </w:rPr>
            </w:pPr>
          </w:p>
        </w:tc>
        <w:tc>
          <w:tcPr>
            <w:tcW w:w="992" w:type="dxa"/>
            <w:tcBorders>
              <w:top w:val="single" w:color="000000" w:sz="4" w:space="0"/>
              <w:left w:val="nil"/>
              <w:bottom w:val="single" w:color="000000" w:sz="4" w:space="0"/>
              <w:right w:val="single" w:color="000000" w:sz="4" w:space="0"/>
            </w:tcBorders>
          </w:tcPr>
          <w:p w14:paraId="677F9B8B">
            <w:pPr>
              <w:widowControl/>
              <w:spacing w:line="400" w:lineRule="atLeast"/>
              <w:jc w:val="center"/>
              <w:rPr>
                <w:rFonts w:hint="eastAsia" w:ascii="宋体" w:hAnsi="宋体" w:cs="宋体"/>
                <w:kern w:val="0"/>
                <w:szCs w:val="21"/>
              </w:rPr>
            </w:pPr>
          </w:p>
        </w:tc>
        <w:tc>
          <w:tcPr>
            <w:tcW w:w="1034" w:type="dxa"/>
            <w:tcBorders>
              <w:top w:val="single" w:color="000000" w:sz="4" w:space="0"/>
              <w:left w:val="nil"/>
              <w:bottom w:val="single" w:color="000000" w:sz="4" w:space="0"/>
              <w:right w:val="single" w:color="000000" w:sz="4" w:space="0"/>
            </w:tcBorders>
          </w:tcPr>
          <w:p w14:paraId="00DDB66D">
            <w:pPr>
              <w:widowControl/>
              <w:spacing w:line="400" w:lineRule="atLeast"/>
              <w:jc w:val="center"/>
              <w:rPr>
                <w:rFonts w:hint="eastAsia" w:ascii="宋体" w:hAnsi="宋体" w:cs="宋体"/>
                <w:kern w:val="0"/>
                <w:szCs w:val="21"/>
              </w:rPr>
            </w:pPr>
          </w:p>
        </w:tc>
        <w:tc>
          <w:tcPr>
            <w:tcW w:w="1517" w:type="dxa"/>
            <w:tcBorders>
              <w:top w:val="single" w:color="000000" w:sz="4" w:space="0"/>
              <w:left w:val="nil"/>
              <w:bottom w:val="single" w:color="000000" w:sz="4" w:space="0"/>
              <w:right w:val="single" w:color="000000" w:sz="4" w:space="0"/>
            </w:tcBorders>
          </w:tcPr>
          <w:p w14:paraId="1380947E">
            <w:pPr>
              <w:widowControl/>
              <w:spacing w:line="400" w:lineRule="atLeast"/>
              <w:jc w:val="center"/>
              <w:rPr>
                <w:rFonts w:hint="eastAsia" w:ascii="宋体" w:hAnsi="宋体" w:cs="宋体"/>
                <w:kern w:val="0"/>
                <w:szCs w:val="21"/>
              </w:rPr>
            </w:pPr>
          </w:p>
        </w:tc>
        <w:tc>
          <w:tcPr>
            <w:tcW w:w="1134" w:type="dxa"/>
            <w:tcBorders>
              <w:top w:val="single" w:color="000000" w:sz="4" w:space="0"/>
              <w:left w:val="nil"/>
              <w:bottom w:val="single" w:color="000000" w:sz="4" w:space="0"/>
              <w:right w:val="single" w:color="000000" w:sz="4" w:space="0"/>
            </w:tcBorders>
          </w:tcPr>
          <w:p w14:paraId="42710439">
            <w:pPr>
              <w:widowControl/>
              <w:spacing w:line="400" w:lineRule="atLeast"/>
              <w:jc w:val="center"/>
              <w:rPr>
                <w:rFonts w:hint="eastAsia" w:ascii="宋体" w:hAnsi="宋体" w:cs="宋体"/>
                <w:kern w:val="0"/>
                <w:szCs w:val="21"/>
              </w:rPr>
            </w:pPr>
          </w:p>
        </w:tc>
        <w:tc>
          <w:tcPr>
            <w:tcW w:w="1134" w:type="dxa"/>
            <w:tcBorders>
              <w:top w:val="single" w:color="000000" w:sz="4" w:space="0"/>
              <w:left w:val="nil"/>
              <w:bottom w:val="single" w:color="000000" w:sz="4" w:space="0"/>
              <w:right w:val="single" w:color="000000" w:sz="4" w:space="0"/>
            </w:tcBorders>
          </w:tcPr>
          <w:p w14:paraId="3936B0D1">
            <w:pPr>
              <w:widowControl/>
              <w:spacing w:line="400" w:lineRule="atLeast"/>
              <w:jc w:val="center"/>
              <w:rPr>
                <w:rFonts w:hint="eastAsia" w:ascii="宋体" w:hAnsi="宋体" w:cs="宋体"/>
                <w:kern w:val="0"/>
                <w:szCs w:val="21"/>
              </w:rPr>
            </w:pPr>
          </w:p>
        </w:tc>
      </w:tr>
      <w:tr w14:paraId="4769514E">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7AA85088">
            <w:pPr>
              <w:widowControl/>
              <w:spacing w:line="400" w:lineRule="atLeast"/>
              <w:jc w:val="center"/>
              <w:rPr>
                <w:rFonts w:hint="eastAsia" w:ascii="宋体" w:hAnsi="宋体" w:cs="宋体"/>
                <w:kern w:val="0"/>
                <w:szCs w:val="21"/>
              </w:rPr>
            </w:pPr>
          </w:p>
        </w:tc>
        <w:tc>
          <w:tcPr>
            <w:tcW w:w="1559" w:type="dxa"/>
            <w:tcBorders>
              <w:top w:val="single" w:color="000000" w:sz="4" w:space="0"/>
              <w:left w:val="nil"/>
              <w:bottom w:val="single" w:color="000000" w:sz="4" w:space="0"/>
              <w:right w:val="single" w:color="000000" w:sz="4" w:space="0"/>
            </w:tcBorders>
          </w:tcPr>
          <w:p w14:paraId="57BC94BB">
            <w:pPr>
              <w:widowControl/>
              <w:spacing w:line="400" w:lineRule="atLeast"/>
              <w:jc w:val="center"/>
              <w:rPr>
                <w:rFonts w:hint="eastAsia" w:ascii="宋体" w:hAnsi="宋体" w:cs="宋体"/>
                <w:kern w:val="0"/>
                <w:szCs w:val="21"/>
              </w:rPr>
            </w:pPr>
          </w:p>
        </w:tc>
        <w:tc>
          <w:tcPr>
            <w:tcW w:w="1418" w:type="dxa"/>
            <w:tcBorders>
              <w:top w:val="single" w:color="000000" w:sz="4" w:space="0"/>
              <w:left w:val="nil"/>
              <w:bottom w:val="single" w:color="000000" w:sz="4" w:space="0"/>
              <w:right w:val="single" w:color="000000" w:sz="4" w:space="0"/>
            </w:tcBorders>
          </w:tcPr>
          <w:p w14:paraId="34ADBD08">
            <w:pPr>
              <w:widowControl/>
              <w:spacing w:line="400" w:lineRule="atLeast"/>
              <w:jc w:val="center"/>
              <w:rPr>
                <w:rFonts w:hint="eastAsia" w:ascii="宋体" w:hAnsi="宋体" w:cs="宋体"/>
                <w:kern w:val="0"/>
                <w:szCs w:val="21"/>
              </w:rPr>
            </w:pPr>
          </w:p>
        </w:tc>
        <w:tc>
          <w:tcPr>
            <w:tcW w:w="992" w:type="dxa"/>
            <w:tcBorders>
              <w:top w:val="single" w:color="000000" w:sz="4" w:space="0"/>
              <w:left w:val="nil"/>
              <w:bottom w:val="single" w:color="000000" w:sz="4" w:space="0"/>
              <w:right w:val="single" w:color="000000" w:sz="4" w:space="0"/>
            </w:tcBorders>
          </w:tcPr>
          <w:p w14:paraId="1F7C8CBF">
            <w:pPr>
              <w:widowControl/>
              <w:spacing w:line="400" w:lineRule="atLeast"/>
              <w:jc w:val="center"/>
              <w:rPr>
                <w:rFonts w:hint="eastAsia" w:ascii="宋体" w:hAnsi="宋体" w:cs="宋体"/>
                <w:kern w:val="0"/>
                <w:szCs w:val="21"/>
              </w:rPr>
            </w:pPr>
          </w:p>
        </w:tc>
        <w:tc>
          <w:tcPr>
            <w:tcW w:w="1034" w:type="dxa"/>
            <w:tcBorders>
              <w:top w:val="single" w:color="000000" w:sz="4" w:space="0"/>
              <w:left w:val="nil"/>
              <w:bottom w:val="single" w:color="000000" w:sz="4" w:space="0"/>
              <w:right w:val="single" w:color="000000" w:sz="4" w:space="0"/>
            </w:tcBorders>
          </w:tcPr>
          <w:p w14:paraId="5B08D02D">
            <w:pPr>
              <w:widowControl/>
              <w:spacing w:line="400" w:lineRule="atLeast"/>
              <w:jc w:val="center"/>
              <w:rPr>
                <w:rFonts w:hint="eastAsia" w:ascii="宋体" w:hAnsi="宋体" w:cs="宋体"/>
                <w:kern w:val="0"/>
                <w:szCs w:val="21"/>
              </w:rPr>
            </w:pPr>
          </w:p>
        </w:tc>
        <w:tc>
          <w:tcPr>
            <w:tcW w:w="1517" w:type="dxa"/>
            <w:tcBorders>
              <w:top w:val="single" w:color="000000" w:sz="4" w:space="0"/>
              <w:left w:val="nil"/>
              <w:bottom w:val="single" w:color="000000" w:sz="4" w:space="0"/>
              <w:right w:val="single" w:color="000000" w:sz="4" w:space="0"/>
            </w:tcBorders>
          </w:tcPr>
          <w:p w14:paraId="7EFBBD75">
            <w:pPr>
              <w:widowControl/>
              <w:spacing w:line="400" w:lineRule="atLeast"/>
              <w:jc w:val="center"/>
              <w:rPr>
                <w:rFonts w:hint="eastAsia" w:ascii="宋体" w:hAnsi="宋体" w:cs="宋体"/>
                <w:kern w:val="0"/>
                <w:szCs w:val="21"/>
              </w:rPr>
            </w:pPr>
          </w:p>
        </w:tc>
        <w:tc>
          <w:tcPr>
            <w:tcW w:w="1134" w:type="dxa"/>
            <w:tcBorders>
              <w:top w:val="single" w:color="000000" w:sz="4" w:space="0"/>
              <w:left w:val="nil"/>
              <w:bottom w:val="single" w:color="000000" w:sz="4" w:space="0"/>
              <w:right w:val="single" w:color="000000" w:sz="4" w:space="0"/>
            </w:tcBorders>
          </w:tcPr>
          <w:p w14:paraId="3558EFEE">
            <w:pPr>
              <w:widowControl/>
              <w:spacing w:line="400" w:lineRule="atLeast"/>
              <w:jc w:val="center"/>
              <w:rPr>
                <w:rFonts w:hint="eastAsia" w:ascii="宋体" w:hAnsi="宋体" w:cs="宋体"/>
                <w:kern w:val="0"/>
                <w:szCs w:val="21"/>
              </w:rPr>
            </w:pPr>
          </w:p>
        </w:tc>
        <w:tc>
          <w:tcPr>
            <w:tcW w:w="1134" w:type="dxa"/>
            <w:tcBorders>
              <w:top w:val="single" w:color="000000" w:sz="4" w:space="0"/>
              <w:left w:val="nil"/>
              <w:bottom w:val="single" w:color="000000" w:sz="4" w:space="0"/>
              <w:right w:val="single" w:color="000000" w:sz="4" w:space="0"/>
            </w:tcBorders>
          </w:tcPr>
          <w:p w14:paraId="24E40F37">
            <w:pPr>
              <w:widowControl/>
              <w:spacing w:line="400" w:lineRule="atLeast"/>
              <w:jc w:val="center"/>
              <w:rPr>
                <w:rFonts w:hint="eastAsia" w:ascii="宋体" w:hAnsi="宋体" w:cs="宋体"/>
                <w:kern w:val="0"/>
                <w:szCs w:val="21"/>
              </w:rPr>
            </w:pPr>
          </w:p>
        </w:tc>
      </w:tr>
      <w:tr w14:paraId="4EB00449">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3E97BDF9">
            <w:pPr>
              <w:widowControl/>
              <w:spacing w:line="400" w:lineRule="atLeast"/>
              <w:jc w:val="center"/>
              <w:rPr>
                <w:rFonts w:hint="eastAsia" w:ascii="宋体" w:hAnsi="宋体" w:cs="宋体"/>
                <w:kern w:val="0"/>
                <w:szCs w:val="21"/>
              </w:rPr>
            </w:pPr>
          </w:p>
        </w:tc>
        <w:tc>
          <w:tcPr>
            <w:tcW w:w="1559" w:type="dxa"/>
            <w:tcBorders>
              <w:top w:val="single" w:color="000000" w:sz="4" w:space="0"/>
              <w:left w:val="nil"/>
              <w:bottom w:val="single" w:color="000000" w:sz="4" w:space="0"/>
              <w:right w:val="single" w:color="000000" w:sz="4" w:space="0"/>
            </w:tcBorders>
          </w:tcPr>
          <w:p w14:paraId="694F6521">
            <w:pPr>
              <w:widowControl/>
              <w:spacing w:line="400" w:lineRule="atLeast"/>
              <w:jc w:val="center"/>
              <w:rPr>
                <w:rFonts w:hint="eastAsia" w:ascii="宋体" w:hAnsi="宋体" w:cs="宋体"/>
                <w:kern w:val="0"/>
                <w:szCs w:val="21"/>
              </w:rPr>
            </w:pPr>
          </w:p>
        </w:tc>
        <w:tc>
          <w:tcPr>
            <w:tcW w:w="1418" w:type="dxa"/>
            <w:tcBorders>
              <w:top w:val="single" w:color="000000" w:sz="4" w:space="0"/>
              <w:left w:val="nil"/>
              <w:bottom w:val="single" w:color="000000" w:sz="4" w:space="0"/>
              <w:right w:val="single" w:color="000000" w:sz="4" w:space="0"/>
            </w:tcBorders>
          </w:tcPr>
          <w:p w14:paraId="1165DB7C">
            <w:pPr>
              <w:widowControl/>
              <w:spacing w:line="400" w:lineRule="atLeast"/>
              <w:jc w:val="center"/>
              <w:rPr>
                <w:rFonts w:hint="eastAsia" w:ascii="宋体" w:hAnsi="宋体" w:cs="宋体"/>
                <w:kern w:val="0"/>
                <w:szCs w:val="21"/>
              </w:rPr>
            </w:pPr>
          </w:p>
        </w:tc>
        <w:tc>
          <w:tcPr>
            <w:tcW w:w="992" w:type="dxa"/>
            <w:tcBorders>
              <w:top w:val="single" w:color="000000" w:sz="4" w:space="0"/>
              <w:left w:val="nil"/>
              <w:bottom w:val="single" w:color="000000" w:sz="4" w:space="0"/>
              <w:right w:val="single" w:color="000000" w:sz="4" w:space="0"/>
            </w:tcBorders>
          </w:tcPr>
          <w:p w14:paraId="4C60E9C5">
            <w:pPr>
              <w:widowControl/>
              <w:spacing w:line="400" w:lineRule="atLeast"/>
              <w:jc w:val="center"/>
              <w:rPr>
                <w:rFonts w:hint="eastAsia" w:ascii="宋体" w:hAnsi="宋体" w:cs="宋体"/>
                <w:kern w:val="0"/>
                <w:szCs w:val="21"/>
              </w:rPr>
            </w:pPr>
          </w:p>
        </w:tc>
        <w:tc>
          <w:tcPr>
            <w:tcW w:w="1034" w:type="dxa"/>
            <w:tcBorders>
              <w:top w:val="single" w:color="000000" w:sz="4" w:space="0"/>
              <w:left w:val="nil"/>
              <w:bottom w:val="single" w:color="000000" w:sz="4" w:space="0"/>
              <w:right w:val="single" w:color="000000" w:sz="4" w:space="0"/>
            </w:tcBorders>
          </w:tcPr>
          <w:p w14:paraId="1E04D0C3">
            <w:pPr>
              <w:widowControl/>
              <w:spacing w:line="400" w:lineRule="atLeast"/>
              <w:jc w:val="center"/>
              <w:rPr>
                <w:rFonts w:hint="eastAsia" w:ascii="宋体" w:hAnsi="宋体" w:cs="宋体"/>
                <w:kern w:val="0"/>
                <w:szCs w:val="21"/>
              </w:rPr>
            </w:pPr>
          </w:p>
        </w:tc>
        <w:tc>
          <w:tcPr>
            <w:tcW w:w="1517" w:type="dxa"/>
            <w:tcBorders>
              <w:top w:val="single" w:color="000000" w:sz="4" w:space="0"/>
              <w:left w:val="nil"/>
              <w:bottom w:val="single" w:color="000000" w:sz="4" w:space="0"/>
              <w:right w:val="single" w:color="000000" w:sz="4" w:space="0"/>
            </w:tcBorders>
          </w:tcPr>
          <w:p w14:paraId="628B366E">
            <w:pPr>
              <w:widowControl/>
              <w:spacing w:line="400" w:lineRule="atLeast"/>
              <w:jc w:val="center"/>
              <w:rPr>
                <w:rFonts w:hint="eastAsia" w:ascii="宋体" w:hAnsi="宋体" w:cs="宋体"/>
                <w:kern w:val="0"/>
                <w:szCs w:val="21"/>
              </w:rPr>
            </w:pPr>
          </w:p>
        </w:tc>
        <w:tc>
          <w:tcPr>
            <w:tcW w:w="1134" w:type="dxa"/>
            <w:tcBorders>
              <w:top w:val="single" w:color="000000" w:sz="4" w:space="0"/>
              <w:left w:val="nil"/>
              <w:bottom w:val="single" w:color="000000" w:sz="4" w:space="0"/>
              <w:right w:val="single" w:color="000000" w:sz="4" w:space="0"/>
            </w:tcBorders>
          </w:tcPr>
          <w:p w14:paraId="11B8AB29">
            <w:pPr>
              <w:widowControl/>
              <w:spacing w:line="400" w:lineRule="atLeast"/>
              <w:jc w:val="center"/>
              <w:rPr>
                <w:rFonts w:hint="eastAsia" w:ascii="宋体" w:hAnsi="宋体" w:cs="宋体"/>
                <w:kern w:val="0"/>
                <w:szCs w:val="21"/>
              </w:rPr>
            </w:pPr>
          </w:p>
        </w:tc>
        <w:tc>
          <w:tcPr>
            <w:tcW w:w="1134" w:type="dxa"/>
            <w:tcBorders>
              <w:top w:val="single" w:color="000000" w:sz="4" w:space="0"/>
              <w:left w:val="nil"/>
              <w:bottom w:val="single" w:color="000000" w:sz="4" w:space="0"/>
              <w:right w:val="single" w:color="000000" w:sz="4" w:space="0"/>
            </w:tcBorders>
          </w:tcPr>
          <w:p w14:paraId="035F5750">
            <w:pPr>
              <w:widowControl/>
              <w:spacing w:line="400" w:lineRule="atLeast"/>
              <w:jc w:val="center"/>
              <w:rPr>
                <w:rFonts w:hint="eastAsia" w:ascii="宋体" w:hAnsi="宋体" w:cs="宋体"/>
                <w:kern w:val="0"/>
                <w:szCs w:val="21"/>
              </w:rPr>
            </w:pPr>
          </w:p>
        </w:tc>
      </w:tr>
      <w:tr w14:paraId="1850FB42">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661B8E40">
            <w:pPr>
              <w:widowControl/>
              <w:spacing w:line="400" w:lineRule="atLeast"/>
              <w:jc w:val="center"/>
              <w:rPr>
                <w:rFonts w:hint="eastAsia" w:ascii="宋体" w:hAnsi="宋体" w:cs="宋体"/>
                <w:kern w:val="0"/>
                <w:szCs w:val="21"/>
              </w:rPr>
            </w:pPr>
          </w:p>
        </w:tc>
        <w:tc>
          <w:tcPr>
            <w:tcW w:w="1559" w:type="dxa"/>
            <w:tcBorders>
              <w:top w:val="single" w:color="000000" w:sz="4" w:space="0"/>
              <w:left w:val="nil"/>
              <w:bottom w:val="single" w:color="000000" w:sz="4" w:space="0"/>
              <w:right w:val="single" w:color="000000" w:sz="4" w:space="0"/>
            </w:tcBorders>
          </w:tcPr>
          <w:p w14:paraId="2C47A803">
            <w:pPr>
              <w:widowControl/>
              <w:spacing w:line="400" w:lineRule="atLeast"/>
              <w:jc w:val="center"/>
              <w:rPr>
                <w:rFonts w:hint="eastAsia" w:ascii="宋体" w:hAnsi="宋体" w:cs="宋体"/>
                <w:kern w:val="0"/>
                <w:szCs w:val="21"/>
              </w:rPr>
            </w:pPr>
          </w:p>
        </w:tc>
        <w:tc>
          <w:tcPr>
            <w:tcW w:w="1418" w:type="dxa"/>
            <w:tcBorders>
              <w:top w:val="single" w:color="000000" w:sz="4" w:space="0"/>
              <w:left w:val="nil"/>
              <w:bottom w:val="single" w:color="000000" w:sz="4" w:space="0"/>
              <w:right w:val="single" w:color="000000" w:sz="4" w:space="0"/>
            </w:tcBorders>
          </w:tcPr>
          <w:p w14:paraId="198ACB19">
            <w:pPr>
              <w:widowControl/>
              <w:spacing w:line="400" w:lineRule="atLeast"/>
              <w:jc w:val="center"/>
              <w:rPr>
                <w:rFonts w:hint="eastAsia" w:ascii="宋体" w:hAnsi="宋体" w:cs="宋体"/>
                <w:kern w:val="0"/>
                <w:szCs w:val="21"/>
              </w:rPr>
            </w:pPr>
          </w:p>
        </w:tc>
        <w:tc>
          <w:tcPr>
            <w:tcW w:w="992" w:type="dxa"/>
            <w:tcBorders>
              <w:top w:val="single" w:color="000000" w:sz="4" w:space="0"/>
              <w:left w:val="nil"/>
              <w:bottom w:val="single" w:color="000000" w:sz="4" w:space="0"/>
              <w:right w:val="single" w:color="000000" w:sz="4" w:space="0"/>
            </w:tcBorders>
          </w:tcPr>
          <w:p w14:paraId="1B23C804">
            <w:pPr>
              <w:widowControl/>
              <w:spacing w:line="400" w:lineRule="atLeast"/>
              <w:jc w:val="center"/>
              <w:rPr>
                <w:rFonts w:hint="eastAsia" w:ascii="宋体" w:hAnsi="宋体" w:cs="宋体"/>
                <w:kern w:val="0"/>
                <w:szCs w:val="21"/>
              </w:rPr>
            </w:pPr>
          </w:p>
        </w:tc>
        <w:tc>
          <w:tcPr>
            <w:tcW w:w="1034" w:type="dxa"/>
            <w:tcBorders>
              <w:top w:val="single" w:color="000000" w:sz="4" w:space="0"/>
              <w:left w:val="nil"/>
              <w:bottom w:val="single" w:color="000000" w:sz="4" w:space="0"/>
              <w:right w:val="single" w:color="000000" w:sz="4" w:space="0"/>
            </w:tcBorders>
          </w:tcPr>
          <w:p w14:paraId="19858FDA">
            <w:pPr>
              <w:widowControl/>
              <w:spacing w:line="400" w:lineRule="atLeast"/>
              <w:jc w:val="center"/>
              <w:rPr>
                <w:rFonts w:hint="eastAsia" w:ascii="宋体" w:hAnsi="宋体" w:cs="宋体"/>
                <w:kern w:val="0"/>
                <w:szCs w:val="21"/>
              </w:rPr>
            </w:pPr>
          </w:p>
        </w:tc>
        <w:tc>
          <w:tcPr>
            <w:tcW w:w="1517" w:type="dxa"/>
            <w:tcBorders>
              <w:top w:val="single" w:color="000000" w:sz="4" w:space="0"/>
              <w:left w:val="nil"/>
              <w:bottom w:val="single" w:color="000000" w:sz="4" w:space="0"/>
              <w:right w:val="single" w:color="000000" w:sz="4" w:space="0"/>
            </w:tcBorders>
          </w:tcPr>
          <w:p w14:paraId="596A6A05">
            <w:pPr>
              <w:widowControl/>
              <w:spacing w:line="400" w:lineRule="atLeast"/>
              <w:jc w:val="center"/>
              <w:rPr>
                <w:rFonts w:hint="eastAsia" w:ascii="宋体" w:hAnsi="宋体" w:cs="宋体"/>
                <w:kern w:val="0"/>
                <w:szCs w:val="21"/>
              </w:rPr>
            </w:pPr>
          </w:p>
        </w:tc>
        <w:tc>
          <w:tcPr>
            <w:tcW w:w="1134" w:type="dxa"/>
            <w:tcBorders>
              <w:top w:val="single" w:color="000000" w:sz="4" w:space="0"/>
              <w:left w:val="nil"/>
              <w:bottom w:val="single" w:color="000000" w:sz="4" w:space="0"/>
              <w:right w:val="single" w:color="000000" w:sz="4" w:space="0"/>
            </w:tcBorders>
          </w:tcPr>
          <w:p w14:paraId="5568F49A">
            <w:pPr>
              <w:widowControl/>
              <w:spacing w:line="400" w:lineRule="atLeast"/>
              <w:jc w:val="center"/>
              <w:rPr>
                <w:rFonts w:hint="eastAsia" w:ascii="宋体" w:hAnsi="宋体" w:cs="宋体"/>
                <w:kern w:val="0"/>
                <w:szCs w:val="21"/>
              </w:rPr>
            </w:pPr>
          </w:p>
        </w:tc>
        <w:tc>
          <w:tcPr>
            <w:tcW w:w="1134" w:type="dxa"/>
            <w:tcBorders>
              <w:top w:val="single" w:color="000000" w:sz="4" w:space="0"/>
              <w:left w:val="nil"/>
              <w:bottom w:val="single" w:color="000000" w:sz="4" w:space="0"/>
              <w:right w:val="single" w:color="000000" w:sz="4" w:space="0"/>
            </w:tcBorders>
          </w:tcPr>
          <w:p w14:paraId="753EC76F">
            <w:pPr>
              <w:widowControl/>
              <w:spacing w:line="400" w:lineRule="atLeast"/>
              <w:jc w:val="center"/>
              <w:rPr>
                <w:rFonts w:hint="eastAsia" w:ascii="宋体" w:hAnsi="宋体" w:cs="宋体"/>
                <w:kern w:val="0"/>
                <w:szCs w:val="21"/>
              </w:rPr>
            </w:pPr>
          </w:p>
        </w:tc>
      </w:tr>
      <w:tr w14:paraId="229F5B92">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2CDE1E6E">
            <w:pPr>
              <w:widowControl/>
              <w:spacing w:line="400" w:lineRule="atLeast"/>
              <w:jc w:val="center"/>
              <w:rPr>
                <w:rFonts w:hint="eastAsia" w:ascii="宋体" w:hAnsi="宋体" w:cs="宋体"/>
                <w:kern w:val="0"/>
                <w:szCs w:val="21"/>
              </w:rPr>
            </w:pPr>
          </w:p>
        </w:tc>
        <w:tc>
          <w:tcPr>
            <w:tcW w:w="1559" w:type="dxa"/>
            <w:tcBorders>
              <w:top w:val="single" w:color="000000" w:sz="4" w:space="0"/>
              <w:left w:val="nil"/>
              <w:bottom w:val="single" w:color="000000" w:sz="4" w:space="0"/>
              <w:right w:val="single" w:color="000000" w:sz="4" w:space="0"/>
            </w:tcBorders>
          </w:tcPr>
          <w:p w14:paraId="68694372">
            <w:pPr>
              <w:widowControl/>
              <w:spacing w:line="400" w:lineRule="atLeast"/>
              <w:jc w:val="center"/>
              <w:rPr>
                <w:rFonts w:hint="eastAsia" w:ascii="宋体" w:hAnsi="宋体" w:cs="宋体"/>
                <w:kern w:val="0"/>
                <w:szCs w:val="21"/>
              </w:rPr>
            </w:pPr>
          </w:p>
        </w:tc>
        <w:tc>
          <w:tcPr>
            <w:tcW w:w="1418" w:type="dxa"/>
            <w:tcBorders>
              <w:top w:val="single" w:color="000000" w:sz="4" w:space="0"/>
              <w:left w:val="nil"/>
              <w:bottom w:val="single" w:color="000000" w:sz="4" w:space="0"/>
              <w:right w:val="single" w:color="000000" w:sz="4" w:space="0"/>
            </w:tcBorders>
          </w:tcPr>
          <w:p w14:paraId="44329C76">
            <w:pPr>
              <w:widowControl/>
              <w:spacing w:line="400" w:lineRule="atLeast"/>
              <w:jc w:val="center"/>
              <w:rPr>
                <w:rFonts w:hint="eastAsia" w:ascii="宋体" w:hAnsi="宋体" w:cs="宋体"/>
                <w:kern w:val="0"/>
                <w:szCs w:val="21"/>
              </w:rPr>
            </w:pPr>
          </w:p>
        </w:tc>
        <w:tc>
          <w:tcPr>
            <w:tcW w:w="992" w:type="dxa"/>
            <w:tcBorders>
              <w:top w:val="single" w:color="000000" w:sz="4" w:space="0"/>
              <w:left w:val="nil"/>
              <w:bottom w:val="single" w:color="000000" w:sz="4" w:space="0"/>
              <w:right w:val="single" w:color="000000" w:sz="4" w:space="0"/>
            </w:tcBorders>
          </w:tcPr>
          <w:p w14:paraId="2EB5DE4A">
            <w:pPr>
              <w:widowControl/>
              <w:spacing w:line="400" w:lineRule="atLeast"/>
              <w:jc w:val="center"/>
              <w:rPr>
                <w:rFonts w:hint="eastAsia" w:ascii="宋体" w:hAnsi="宋体" w:cs="宋体"/>
                <w:kern w:val="0"/>
                <w:szCs w:val="21"/>
              </w:rPr>
            </w:pPr>
          </w:p>
        </w:tc>
        <w:tc>
          <w:tcPr>
            <w:tcW w:w="1034" w:type="dxa"/>
            <w:tcBorders>
              <w:top w:val="single" w:color="000000" w:sz="4" w:space="0"/>
              <w:left w:val="nil"/>
              <w:bottom w:val="single" w:color="000000" w:sz="4" w:space="0"/>
              <w:right w:val="single" w:color="000000" w:sz="4" w:space="0"/>
            </w:tcBorders>
          </w:tcPr>
          <w:p w14:paraId="7BF6A37E">
            <w:pPr>
              <w:widowControl/>
              <w:spacing w:line="400" w:lineRule="atLeast"/>
              <w:jc w:val="center"/>
              <w:rPr>
                <w:rFonts w:hint="eastAsia" w:ascii="宋体" w:hAnsi="宋体" w:cs="宋体"/>
                <w:kern w:val="0"/>
                <w:szCs w:val="21"/>
              </w:rPr>
            </w:pPr>
          </w:p>
        </w:tc>
        <w:tc>
          <w:tcPr>
            <w:tcW w:w="1517" w:type="dxa"/>
            <w:tcBorders>
              <w:top w:val="single" w:color="000000" w:sz="4" w:space="0"/>
              <w:left w:val="nil"/>
              <w:bottom w:val="single" w:color="000000" w:sz="4" w:space="0"/>
              <w:right w:val="single" w:color="000000" w:sz="4" w:space="0"/>
            </w:tcBorders>
          </w:tcPr>
          <w:p w14:paraId="7F047307">
            <w:pPr>
              <w:widowControl/>
              <w:spacing w:line="400" w:lineRule="atLeast"/>
              <w:jc w:val="center"/>
              <w:rPr>
                <w:rFonts w:hint="eastAsia" w:ascii="宋体" w:hAnsi="宋体" w:cs="宋体"/>
                <w:kern w:val="0"/>
                <w:szCs w:val="21"/>
              </w:rPr>
            </w:pPr>
          </w:p>
        </w:tc>
        <w:tc>
          <w:tcPr>
            <w:tcW w:w="1134" w:type="dxa"/>
            <w:tcBorders>
              <w:top w:val="single" w:color="000000" w:sz="4" w:space="0"/>
              <w:left w:val="nil"/>
              <w:bottom w:val="single" w:color="000000" w:sz="4" w:space="0"/>
              <w:right w:val="single" w:color="000000" w:sz="4" w:space="0"/>
            </w:tcBorders>
          </w:tcPr>
          <w:p w14:paraId="16BD485A">
            <w:pPr>
              <w:widowControl/>
              <w:spacing w:line="400" w:lineRule="atLeast"/>
              <w:jc w:val="center"/>
              <w:rPr>
                <w:rFonts w:hint="eastAsia" w:ascii="宋体" w:hAnsi="宋体" w:cs="宋体"/>
                <w:kern w:val="0"/>
                <w:szCs w:val="21"/>
              </w:rPr>
            </w:pPr>
          </w:p>
        </w:tc>
        <w:tc>
          <w:tcPr>
            <w:tcW w:w="1134" w:type="dxa"/>
            <w:tcBorders>
              <w:top w:val="single" w:color="000000" w:sz="4" w:space="0"/>
              <w:left w:val="nil"/>
              <w:bottom w:val="single" w:color="000000" w:sz="4" w:space="0"/>
              <w:right w:val="single" w:color="000000" w:sz="4" w:space="0"/>
            </w:tcBorders>
          </w:tcPr>
          <w:p w14:paraId="5BE23CA4">
            <w:pPr>
              <w:widowControl/>
              <w:spacing w:line="400" w:lineRule="atLeast"/>
              <w:jc w:val="center"/>
              <w:rPr>
                <w:rFonts w:hint="eastAsia" w:ascii="宋体" w:hAnsi="宋体" w:cs="宋体"/>
                <w:kern w:val="0"/>
                <w:szCs w:val="21"/>
              </w:rPr>
            </w:pPr>
          </w:p>
        </w:tc>
      </w:tr>
      <w:tr w14:paraId="5883316C">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1D43D378">
            <w:pPr>
              <w:widowControl/>
              <w:spacing w:line="400" w:lineRule="atLeast"/>
              <w:jc w:val="center"/>
              <w:rPr>
                <w:rFonts w:hint="eastAsia" w:ascii="宋体" w:hAnsi="宋体" w:cs="宋体"/>
                <w:kern w:val="0"/>
                <w:szCs w:val="21"/>
              </w:rPr>
            </w:pPr>
          </w:p>
        </w:tc>
        <w:tc>
          <w:tcPr>
            <w:tcW w:w="1559" w:type="dxa"/>
            <w:tcBorders>
              <w:top w:val="single" w:color="000000" w:sz="4" w:space="0"/>
              <w:left w:val="nil"/>
              <w:bottom w:val="single" w:color="000000" w:sz="4" w:space="0"/>
              <w:right w:val="single" w:color="000000" w:sz="4" w:space="0"/>
            </w:tcBorders>
          </w:tcPr>
          <w:p w14:paraId="5AF27AA1">
            <w:pPr>
              <w:widowControl/>
              <w:spacing w:line="400" w:lineRule="atLeast"/>
              <w:jc w:val="center"/>
              <w:rPr>
                <w:rFonts w:hint="eastAsia" w:ascii="宋体" w:hAnsi="宋体" w:cs="宋体"/>
                <w:kern w:val="0"/>
                <w:szCs w:val="21"/>
              </w:rPr>
            </w:pPr>
          </w:p>
        </w:tc>
        <w:tc>
          <w:tcPr>
            <w:tcW w:w="1418" w:type="dxa"/>
            <w:tcBorders>
              <w:top w:val="single" w:color="000000" w:sz="4" w:space="0"/>
              <w:left w:val="nil"/>
              <w:bottom w:val="single" w:color="000000" w:sz="4" w:space="0"/>
              <w:right w:val="single" w:color="000000" w:sz="4" w:space="0"/>
            </w:tcBorders>
          </w:tcPr>
          <w:p w14:paraId="5F8E3905">
            <w:pPr>
              <w:widowControl/>
              <w:spacing w:line="400" w:lineRule="atLeast"/>
              <w:jc w:val="center"/>
              <w:rPr>
                <w:rFonts w:hint="eastAsia" w:ascii="宋体" w:hAnsi="宋体" w:cs="宋体"/>
                <w:kern w:val="0"/>
                <w:szCs w:val="21"/>
              </w:rPr>
            </w:pPr>
          </w:p>
        </w:tc>
        <w:tc>
          <w:tcPr>
            <w:tcW w:w="992" w:type="dxa"/>
            <w:tcBorders>
              <w:top w:val="single" w:color="000000" w:sz="4" w:space="0"/>
              <w:left w:val="nil"/>
              <w:bottom w:val="single" w:color="000000" w:sz="4" w:space="0"/>
              <w:right w:val="single" w:color="000000" w:sz="4" w:space="0"/>
            </w:tcBorders>
          </w:tcPr>
          <w:p w14:paraId="073EE960">
            <w:pPr>
              <w:widowControl/>
              <w:spacing w:line="400" w:lineRule="atLeast"/>
              <w:jc w:val="center"/>
              <w:rPr>
                <w:rFonts w:hint="eastAsia" w:ascii="宋体" w:hAnsi="宋体" w:cs="宋体"/>
                <w:kern w:val="0"/>
                <w:szCs w:val="21"/>
              </w:rPr>
            </w:pPr>
          </w:p>
        </w:tc>
        <w:tc>
          <w:tcPr>
            <w:tcW w:w="1034" w:type="dxa"/>
            <w:tcBorders>
              <w:top w:val="single" w:color="000000" w:sz="4" w:space="0"/>
              <w:left w:val="nil"/>
              <w:bottom w:val="single" w:color="000000" w:sz="4" w:space="0"/>
              <w:right w:val="single" w:color="000000" w:sz="4" w:space="0"/>
            </w:tcBorders>
          </w:tcPr>
          <w:p w14:paraId="0E436293">
            <w:pPr>
              <w:widowControl/>
              <w:spacing w:line="400" w:lineRule="atLeast"/>
              <w:jc w:val="center"/>
              <w:rPr>
                <w:rFonts w:hint="eastAsia" w:ascii="宋体" w:hAnsi="宋体" w:cs="宋体"/>
                <w:kern w:val="0"/>
                <w:szCs w:val="21"/>
              </w:rPr>
            </w:pPr>
          </w:p>
        </w:tc>
        <w:tc>
          <w:tcPr>
            <w:tcW w:w="1517" w:type="dxa"/>
            <w:tcBorders>
              <w:top w:val="single" w:color="000000" w:sz="4" w:space="0"/>
              <w:left w:val="nil"/>
              <w:bottom w:val="single" w:color="000000" w:sz="4" w:space="0"/>
              <w:right w:val="single" w:color="000000" w:sz="4" w:space="0"/>
            </w:tcBorders>
          </w:tcPr>
          <w:p w14:paraId="69E75D45">
            <w:pPr>
              <w:widowControl/>
              <w:spacing w:line="400" w:lineRule="atLeast"/>
              <w:jc w:val="center"/>
              <w:rPr>
                <w:rFonts w:hint="eastAsia" w:ascii="宋体" w:hAnsi="宋体" w:cs="宋体"/>
                <w:kern w:val="0"/>
                <w:szCs w:val="21"/>
              </w:rPr>
            </w:pPr>
          </w:p>
        </w:tc>
        <w:tc>
          <w:tcPr>
            <w:tcW w:w="1134" w:type="dxa"/>
            <w:tcBorders>
              <w:top w:val="single" w:color="000000" w:sz="4" w:space="0"/>
              <w:left w:val="nil"/>
              <w:bottom w:val="single" w:color="000000" w:sz="4" w:space="0"/>
              <w:right w:val="single" w:color="000000" w:sz="4" w:space="0"/>
            </w:tcBorders>
          </w:tcPr>
          <w:p w14:paraId="3EC7D0DB">
            <w:pPr>
              <w:widowControl/>
              <w:spacing w:line="400" w:lineRule="atLeast"/>
              <w:jc w:val="center"/>
              <w:rPr>
                <w:rFonts w:hint="eastAsia" w:ascii="宋体" w:hAnsi="宋体" w:cs="宋体"/>
                <w:kern w:val="0"/>
                <w:szCs w:val="21"/>
              </w:rPr>
            </w:pPr>
          </w:p>
        </w:tc>
        <w:tc>
          <w:tcPr>
            <w:tcW w:w="1134" w:type="dxa"/>
            <w:tcBorders>
              <w:top w:val="single" w:color="000000" w:sz="4" w:space="0"/>
              <w:left w:val="nil"/>
              <w:bottom w:val="single" w:color="000000" w:sz="4" w:space="0"/>
              <w:right w:val="single" w:color="000000" w:sz="4" w:space="0"/>
            </w:tcBorders>
          </w:tcPr>
          <w:p w14:paraId="60E2A059">
            <w:pPr>
              <w:widowControl/>
              <w:spacing w:line="400" w:lineRule="atLeast"/>
              <w:jc w:val="center"/>
              <w:rPr>
                <w:rFonts w:hint="eastAsia" w:ascii="宋体" w:hAnsi="宋体" w:cs="宋体"/>
                <w:kern w:val="0"/>
                <w:szCs w:val="21"/>
              </w:rPr>
            </w:pPr>
          </w:p>
        </w:tc>
      </w:tr>
    </w:tbl>
    <w:p w14:paraId="78C2ADC9">
      <w:pPr>
        <w:widowControl/>
        <w:shd w:val="clear" w:color="auto" w:fill="FFFFFF"/>
        <w:spacing w:line="360" w:lineRule="auto"/>
        <w:jc w:val="left"/>
        <w:rPr>
          <w:rFonts w:hint="eastAsia" w:ascii="宋体" w:hAnsi="宋体" w:cs="宋体"/>
          <w:kern w:val="0"/>
          <w:szCs w:val="21"/>
        </w:rPr>
      </w:pPr>
      <w:r>
        <w:rPr>
          <w:rFonts w:hint="eastAsia" w:ascii="宋体" w:hAnsi="宋体" w:cs="宋体"/>
          <w:kern w:val="0"/>
          <w:szCs w:val="21"/>
        </w:rPr>
        <w:t>投标单位（加盖电子公章）：</w:t>
      </w:r>
      <w:r>
        <w:rPr>
          <w:rFonts w:hint="eastAsia" w:ascii="宋体" w:hAnsi="宋体" w:cs="宋体"/>
          <w:kern w:val="0"/>
          <w:szCs w:val="21"/>
          <w:u w:val="single"/>
        </w:rPr>
        <w:t>                             </w:t>
      </w:r>
    </w:p>
    <w:p w14:paraId="5D259DB2">
      <w:pPr>
        <w:widowControl/>
        <w:adjustRightInd w:val="0"/>
        <w:spacing w:line="360" w:lineRule="auto"/>
        <w:rPr>
          <w:rFonts w:hint="eastAsia" w:ascii="宋体" w:hAnsi="宋体" w:cs="宋体"/>
          <w:b/>
          <w:bCs/>
          <w:kern w:val="0"/>
          <w:szCs w:val="21"/>
        </w:rPr>
      </w:pPr>
    </w:p>
    <w:p w14:paraId="2A167C0A">
      <w:pPr>
        <w:rPr>
          <w:rFonts w:hint="eastAsia" w:ascii="宋体" w:hAnsi="宋体" w:cs="宋体"/>
          <w:b/>
        </w:rPr>
      </w:pPr>
    </w:p>
    <w:p w14:paraId="116F5087">
      <w:pPr>
        <w:rPr>
          <w:rFonts w:hint="eastAsia" w:ascii="宋体" w:hAnsi="宋体" w:cs="宋体"/>
          <w:b/>
        </w:rPr>
      </w:pPr>
    </w:p>
    <w:p w14:paraId="1F38FEB7">
      <w:pPr>
        <w:rPr>
          <w:rFonts w:hint="eastAsia" w:ascii="宋体" w:hAnsi="宋体" w:cs="宋体"/>
          <w:b/>
        </w:rPr>
      </w:pPr>
    </w:p>
    <w:p w14:paraId="40869C75">
      <w:pPr>
        <w:rPr>
          <w:rFonts w:hint="eastAsia" w:ascii="宋体" w:hAnsi="宋体" w:cs="宋体"/>
          <w:b/>
        </w:rPr>
      </w:pPr>
    </w:p>
    <w:p w14:paraId="307BD553">
      <w:pPr>
        <w:rPr>
          <w:rFonts w:hint="eastAsia" w:ascii="宋体" w:hAnsi="宋体" w:cs="宋体"/>
          <w:b/>
        </w:rPr>
      </w:pPr>
    </w:p>
    <w:p w14:paraId="42835D06">
      <w:pPr>
        <w:rPr>
          <w:rFonts w:hint="eastAsia" w:ascii="宋体" w:hAnsi="宋体" w:cs="宋体"/>
          <w:b/>
        </w:rPr>
      </w:pPr>
    </w:p>
    <w:p w14:paraId="3E3B47EB">
      <w:pPr>
        <w:rPr>
          <w:rFonts w:hint="eastAsia" w:ascii="宋体" w:hAnsi="宋体" w:cs="宋体"/>
          <w:b/>
        </w:rPr>
      </w:pPr>
    </w:p>
    <w:p w14:paraId="1BA12077">
      <w:pPr>
        <w:rPr>
          <w:rFonts w:hint="eastAsia" w:ascii="宋体" w:hAnsi="宋体" w:cs="宋体"/>
          <w:b/>
        </w:rPr>
      </w:pPr>
    </w:p>
    <w:p w14:paraId="30D9BAAD">
      <w:pPr>
        <w:rPr>
          <w:rFonts w:hint="eastAsia" w:ascii="宋体" w:hAnsi="宋体" w:cs="宋体"/>
          <w:b/>
        </w:rPr>
      </w:pPr>
    </w:p>
    <w:p w14:paraId="0CE52E5D">
      <w:pPr>
        <w:rPr>
          <w:rFonts w:hint="eastAsia" w:ascii="宋体" w:hAnsi="宋体" w:cs="宋体"/>
          <w:b/>
        </w:rPr>
      </w:pPr>
    </w:p>
    <w:p w14:paraId="093EE5DB">
      <w:pPr>
        <w:rPr>
          <w:rFonts w:hint="eastAsia" w:ascii="宋体" w:hAnsi="宋体" w:cs="宋体"/>
          <w:b/>
        </w:rPr>
      </w:pPr>
    </w:p>
    <w:p w14:paraId="7300EAB3">
      <w:pPr>
        <w:rPr>
          <w:rFonts w:hint="eastAsia" w:ascii="宋体" w:hAnsi="宋体" w:cs="宋体"/>
          <w:b/>
        </w:rPr>
      </w:pPr>
    </w:p>
    <w:p w14:paraId="20C7956C">
      <w:pPr>
        <w:rPr>
          <w:rFonts w:hint="eastAsia" w:ascii="宋体" w:hAnsi="宋体" w:cs="宋体"/>
          <w:b/>
        </w:rPr>
      </w:pPr>
    </w:p>
    <w:p w14:paraId="0E6FFB78">
      <w:pPr>
        <w:rPr>
          <w:rFonts w:hint="eastAsia" w:ascii="宋体" w:hAnsi="宋体" w:cs="宋体"/>
          <w:b/>
        </w:rPr>
      </w:pPr>
    </w:p>
    <w:p w14:paraId="7A8D70F4">
      <w:pPr>
        <w:rPr>
          <w:rFonts w:hint="eastAsia" w:ascii="宋体" w:hAnsi="宋体" w:cs="宋体"/>
          <w:b/>
        </w:rPr>
      </w:pPr>
    </w:p>
    <w:p w14:paraId="08247FBE">
      <w:pPr>
        <w:rPr>
          <w:rFonts w:hint="eastAsia" w:ascii="宋体" w:hAnsi="宋体" w:cs="宋体"/>
          <w:b/>
        </w:rPr>
      </w:pPr>
    </w:p>
    <w:p w14:paraId="610E0CD0">
      <w:pPr>
        <w:rPr>
          <w:rFonts w:hint="eastAsia" w:ascii="宋体" w:hAnsi="宋体" w:cs="宋体"/>
          <w:b/>
        </w:rPr>
      </w:pPr>
    </w:p>
    <w:p w14:paraId="0E25C546">
      <w:pPr>
        <w:rPr>
          <w:rFonts w:hint="eastAsia" w:ascii="宋体" w:hAnsi="宋体" w:cs="宋体"/>
          <w:b/>
        </w:rPr>
      </w:pPr>
    </w:p>
    <w:p w14:paraId="7D39AF54">
      <w:pPr>
        <w:rPr>
          <w:rFonts w:hint="eastAsia" w:ascii="宋体" w:hAnsi="宋体" w:cs="宋体"/>
          <w:b/>
        </w:rPr>
      </w:pPr>
    </w:p>
    <w:p w14:paraId="7C9AB414">
      <w:pPr>
        <w:rPr>
          <w:rFonts w:hint="eastAsia" w:ascii="宋体" w:hAnsi="宋体" w:cs="宋体"/>
          <w:b/>
        </w:rPr>
      </w:pPr>
    </w:p>
    <w:p w14:paraId="5F5C7A7D">
      <w:pPr>
        <w:rPr>
          <w:rFonts w:hint="eastAsia" w:ascii="宋体" w:hAnsi="宋体" w:cs="宋体"/>
          <w:b/>
        </w:rPr>
      </w:pPr>
    </w:p>
    <w:p w14:paraId="789AE7AC">
      <w:pPr>
        <w:rPr>
          <w:rFonts w:hint="eastAsia" w:ascii="宋体" w:hAnsi="宋体" w:cs="宋体"/>
          <w:b/>
        </w:rPr>
      </w:pPr>
    </w:p>
    <w:p w14:paraId="47360958">
      <w:pPr>
        <w:widowControl/>
        <w:jc w:val="left"/>
        <w:rPr>
          <w:rFonts w:hint="eastAsia" w:ascii="宋体" w:hAnsi="宋体" w:cs="宋体"/>
          <w:b/>
        </w:rPr>
      </w:pPr>
      <w:r>
        <w:rPr>
          <w:rFonts w:hint="eastAsia" w:ascii="宋体" w:hAnsi="宋体" w:cs="宋体"/>
          <w:b/>
        </w:rPr>
        <w:br w:type="page"/>
      </w:r>
    </w:p>
    <w:p w14:paraId="3DEF4ADE">
      <w:pPr>
        <w:spacing w:line="360" w:lineRule="auto"/>
        <w:rPr>
          <w:rFonts w:hint="eastAsia" w:ascii="宋体" w:hAnsi="宋体" w:cs="宋体"/>
          <w:b/>
          <w:bCs/>
        </w:rPr>
      </w:pPr>
      <w:r>
        <w:rPr>
          <w:rFonts w:hint="eastAsia" w:ascii="宋体" w:hAnsi="宋体" w:cs="宋体"/>
          <w:b/>
        </w:rPr>
        <w:t>附件十</w:t>
      </w:r>
      <w:r>
        <w:rPr>
          <w:rFonts w:hint="eastAsia" w:ascii="宋体" w:hAnsi="宋体" w:cs="宋体"/>
          <w:b/>
          <w:bCs/>
        </w:rPr>
        <w:t>、企业声明函格式</w:t>
      </w:r>
    </w:p>
    <w:p w14:paraId="0503BC32">
      <w:pPr>
        <w:spacing w:before="312" w:beforeLines="100" w:after="312" w:afterLines="100" w:line="480" w:lineRule="auto"/>
        <w:jc w:val="center"/>
        <w:rPr>
          <w:rFonts w:hint="eastAsia" w:ascii="宋体" w:hAnsi="宋体" w:cs="宋体"/>
          <w:b/>
          <w:bCs/>
          <w:sz w:val="28"/>
          <w:szCs w:val="28"/>
        </w:rPr>
      </w:pPr>
      <w:bookmarkStart w:id="23" w:name="OLE_LINK13"/>
      <w:bookmarkStart w:id="24" w:name="OLE_LINK14"/>
      <w:r>
        <w:rPr>
          <w:rFonts w:hint="eastAsia" w:ascii="宋体" w:hAnsi="宋体" w:cs="宋体"/>
          <w:b/>
          <w:bCs/>
          <w:sz w:val="28"/>
          <w:szCs w:val="28"/>
        </w:rPr>
        <w:t>中小企业声明函（工程、服务）</w:t>
      </w:r>
    </w:p>
    <w:p w14:paraId="0E7C41CF">
      <w:pPr>
        <w:widowControl/>
        <w:spacing w:line="440" w:lineRule="exact"/>
        <w:ind w:firstLine="420" w:firstLineChars="200"/>
        <w:jc w:val="left"/>
        <w:rPr>
          <w:rFonts w:hint="eastAsia" w:ascii="宋体" w:hAnsi="宋体" w:cs="宋体"/>
          <w:kern w:val="0"/>
          <w:szCs w:val="21"/>
        </w:rPr>
      </w:pPr>
      <w:r>
        <w:rPr>
          <w:rFonts w:hint="eastAsia" w:ascii="宋体" w:hAnsi="宋体" w:cs="宋体"/>
          <w:kern w:val="0"/>
        </w:rPr>
        <w:t>本公司（联合体）郑重声明，根据《政府采购促进中小企业发展管理办法》（财库〔2020</w:t>
      </w:r>
      <w:r>
        <w:rPr>
          <w:rFonts w:hint="eastAsia" w:ascii="宋体" w:hAnsi="宋体" w:cs="宋体"/>
        </w:rPr>
        <w:t>〕</w:t>
      </w:r>
      <w:r>
        <w:rPr>
          <w:rFonts w:hint="eastAsia" w:ascii="宋体" w:hAnsi="宋体" w:cs="宋体"/>
          <w:kern w:val="0"/>
        </w:rPr>
        <w:t>） 46号）的规定，本公司 （联合体）参加（单位名称）的（项目名称）采购活动，工程的施工单位全部为符合政策要求的中小企业（或者：服务 全部由符合政策要求的中小企业承接）。相关企业（含联合 体中的中小企业、签订分包意向协议的中小企业）的具体情况如下：</w:t>
      </w:r>
    </w:p>
    <w:p w14:paraId="7B95EB7A">
      <w:pPr>
        <w:widowControl/>
        <w:spacing w:line="440" w:lineRule="exact"/>
        <w:ind w:firstLine="420" w:firstLineChars="200"/>
        <w:jc w:val="left"/>
        <w:rPr>
          <w:rFonts w:hint="eastAsia" w:ascii="宋体" w:hAnsi="宋体" w:cs="宋体"/>
          <w:kern w:val="0"/>
        </w:rPr>
      </w:pPr>
      <w:r>
        <w:rPr>
          <w:rFonts w:hint="eastAsia" w:ascii="宋体" w:hAnsi="宋体" w:cs="宋体"/>
          <w:kern w:val="0"/>
          <w:u w:val="single"/>
        </w:rPr>
        <w:t>（标的名称），</w:t>
      </w:r>
      <w:r>
        <w:rPr>
          <w:rFonts w:hint="eastAsia" w:ascii="宋体" w:hAnsi="宋体" w:cs="宋体"/>
          <w:kern w:val="0"/>
        </w:rPr>
        <w:t>属于</w:t>
      </w:r>
      <w:r>
        <w:rPr>
          <w:rFonts w:hint="eastAsia" w:ascii="宋体" w:hAnsi="宋体" w:cs="宋体"/>
          <w:kern w:val="0"/>
          <w:u w:val="single"/>
        </w:rPr>
        <w:t>（采购文件中明确的所属行业），</w:t>
      </w:r>
      <w:r>
        <w:rPr>
          <w:rFonts w:hint="eastAsia" w:ascii="宋体" w:hAnsi="宋体" w:cs="宋体"/>
          <w:kern w:val="0"/>
        </w:rPr>
        <w:t xml:space="preserve"> 承建（承接）企业为（企业名称），从业人员</w:t>
      </w:r>
      <w:r>
        <w:rPr>
          <w:rFonts w:hint="eastAsia" w:ascii="宋体" w:hAnsi="宋体" w:cs="宋体"/>
          <w:kern w:val="0"/>
          <w:u w:val="single"/>
        </w:rPr>
        <w:tab/>
      </w:r>
      <w:r>
        <w:rPr>
          <w:rFonts w:hint="eastAsia" w:ascii="宋体" w:hAnsi="宋体" w:cs="宋体"/>
          <w:kern w:val="0"/>
          <w:u w:val="single"/>
        </w:rPr>
        <w:t>人</w:t>
      </w:r>
      <w:r>
        <w:rPr>
          <w:rFonts w:hint="eastAsia" w:ascii="宋体" w:hAnsi="宋体" w:cs="宋体"/>
          <w:kern w:val="0"/>
        </w:rPr>
        <w:t>，营业收入为</w:t>
      </w:r>
      <w:r>
        <w:rPr>
          <w:rFonts w:hint="eastAsia" w:ascii="宋体" w:hAnsi="宋体" w:cs="宋体"/>
          <w:kern w:val="0"/>
          <w:u w:val="single"/>
        </w:rPr>
        <w:tab/>
      </w:r>
      <w:r>
        <w:rPr>
          <w:rFonts w:hint="eastAsia" w:ascii="宋体" w:hAnsi="宋体" w:cs="宋体"/>
          <w:kern w:val="0"/>
        </w:rPr>
        <w:t>万元，资产总额为</w:t>
      </w:r>
      <w:r>
        <w:rPr>
          <w:rFonts w:hint="eastAsia" w:ascii="宋体" w:hAnsi="宋体" w:cs="宋体"/>
          <w:kern w:val="0"/>
          <w:u w:val="single"/>
        </w:rPr>
        <w:tab/>
      </w:r>
      <w:r>
        <w:rPr>
          <w:rFonts w:hint="eastAsia" w:ascii="宋体" w:hAnsi="宋体" w:cs="宋体"/>
          <w:kern w:val="0"/>
        </w:rPr>
        <w:t>万元，属于（中型企业、小型企业、微型企业）；</w:t>
      </w:r>
    </w:p>
    <w:p w14:paraId="2A807D35">
      <w:pPr>
        <w:widowControl/>
        <w:spacing w:line="440" w:lineRule="exact"/>
        <w:ind w:firstLine="420" w:firstLineChars="200"/>
        <w:jc w:val="left"/>
        <w:rPr>
          <w:rFonts w:hint="eastAsia" w:ascii="宋体" w:hAnsi="宋体" w:cs="宋体"/>
          <w:kern w:val="0"/>
        </w:rPr>
      </w:pPr>
      <w:r>
        <w:rPr>
          <w:rFonts w:hint="eastAsia" w:ascii="宋体" w:hAnsi="宋体" w:cs="宋体"/>
          <w:kern w:val="0"/>
          <w:u w:val="single"/>
        </w:rPr>
        <w:t>（标的名称），</w:t>
      </w:r>
      <w:r>
        <w:rPr>
          <w:rFonts w:hint="eastAsia" w:ascii="宋体" w:hAnsi="宋体" w:cs="宋体"/>
          <w:kern w:val="0"/>
        </w:rPr>
        <w:t>属于（采购文件中明确的所属行业）， 承建（承接）企业为（企业名称），从业人员</w:t>
      </w:r>
      <w:r>
        <w:rPr>
          <w:rFonts w:hint="eastAsia" w:ascii="宋体" w:hAnsi="宋体" w:cs="宋体"/>
          <w:kern w:val="0"/>
          <w:u w:val="single"/>
        </w:rPr>
        <w:tab/>
      </w:r>
      <w:r>
        <w:rPr>
          <w:rFonts w:hint="eastAsia" w:ascii="宋体" w:hAnsi="宋体" w:cs="宋体"/>
          <w:kern w:val="0"/>
          <w:u w:val="single"/>
        </w:rPr>
        <w:t>人</w:t>
      </w:r>
      <w:r>
        <w:rPr>
          <w:rFonts w:hint="eastAsia" w:ascii="宋体" w:hAnsi="宋体" w:cs="宋体"/>
          <w:kern w:val="0"/>
        </w:rPr>
        <w:t>，营业收入为</w:t>
      </w:r>
      <w:r>
        <w:rPr>
          <w:rFonts w:hint="eastAsia" w:ascii="宋体" w:hAnsi="宋体" w:cs="宋体"/>
          <w:kern w:val="0"/>
          <w:u w:val="single"/>
        </w:rPr>
        <w:tab/>
      </w:r>
      <w:r>
        <w:rPr>
          <w:rFonts w:hint="eastAsia" w:ascii="宋体" w:hAnsi="宋体" w:cs="宋体"/>
          <w:kern w:val="0"/>
        </w:rPr>
        <w:t>万元，资产总额为</w:t>
      </w:r>
      <w:r>
        <w:rPr>
          <w:rFonts w:hint="eastAsia" w:ascii="宋体" w:hAnsi="宋体" w:cs="宋体"/>
          <w:kern w:val="0"/>
          <w:u w:val="single"/>
        </w:rPr>
        <w:tab/>
      </w:r>
      <w:r>
        <w:rPr>
          <w:rFonts w:hint="eastAsia" w:ascii="宋体" w:hAnsi="宋体" w:cs="宋体"/>
          <w:kern w:val="0"/>
        </w:rPr>
        <w:t>万元，属于（中型企业、小型企业、微型企业）；</w:t>
      </w:r>
      <w:r>
        <w:rPr>
          <w:rFonts w:hint="eastAsia" w:ascii="宋体" w:hAnsi="宋体" w:cs="宋体"/>
          <w:kern w:val="0"/>
        </w:rPr>
        <w:tab/>
      </w:r>
    </w:p>
    <w:p w14:paraId="3CEB6C40">
      <w:pPr>
        <w:widowControl/>
        <w:spacing w:line="440" w:lineRule="exact"/>
        <w:ind w:firstLine="420" w:firstLineChars="200"/>
        <w:jc w:val="left"/>
        <w:rPr>
          <w:rFonts w:hint="eastAsia" w:ascii="宋体" w:hAnsi="宋体" w:cs="宋体"/>
          <w:kern w:val="0"/>
        </w:rPr>
      </w:pPr>
      <w:r>
        <w:rPr>
          <w:rFonts w:hint="eastAsia" w:ascii="宋体" w:hAnsi="宋体" w:cs="宋体"/>
          <w:kern w:val="0"/>
        </w:rPr>
        <w:t>以上企业，不属于大企业的分支机构，不存在控股股东为大企业的情形，也不存在与大企业的负责人为同一人的情形。</w:t>
      </w:r>
    </w:p>
    <w:p w14:paraId="214AADFD">
      <w:pPr>
        <w:widowControl/>
        <w:spacing w:line="440" w:lineRule="exact"/>
        <w:ind w:firstLine="420" w:firstLineChars="200"/>
        <w:jc w:val="left"/>
        <w:rPr>
          <w:rFonts w:hint="eastAsia" w:ascii="宋体" w:hAnsi="宋体" w:cs="宋体"/>
          <w:kern w:val="0"/>
        </w:rPr>
      </w:pPr>
      <w:r>
        <w:rPr>
          <w:rFonts w:hint="eastAsia" w:ascii="宋体" w:hAnsi="宋体" w:cs="宋体"/>
          <w:kern w:val="0"/>
        </w:rPr>
        <w:t>本企业对上述声明内容的真实性负责。如有虚假，将依法承担相应责任。</w:t>
      </w:r>
    </w:p>
    <w:p w14:paraId="015E79F7">
      <w:pPr>
        <w:widowControl/>
        <w:spacing w:line="440" w:lineRule="exact"/>
        <w:ind w:firstLine="420" w:firstLineChars="200"/>
        <w:jc w:val="left"/>
        <w:rPr>
          <w:rFonts w:hint="eastAsia" w:ascii="宋体" w:hAnsi="宋体" w:cs="宋体"/>
          <w:kern w:val="0"/>
        </w:rPr>
      </w:pPr>
    </w:p>
    <w:p w14:paraId="4511CF7B">
      <w:pPr>
        <w:widowControl/>
        <w:spacing w:line="440" w:lineRule="exact"/>
        <w:ind w:firstLine="420" w:firstLineChars="200"/>
        <w:jc w:val="left"/>
        <w:rPr>
          <w:rFonts w:hint="eastAsia" w:ascii="宋体" w:hAnsi="宋体" w:cs="宋体"/>
          <w:kern w:val="0"/>
        </w:rPr>
      </w:pPr>
    </w:p>
    <w:p w14:paraId="5D920B83">
      <w:pPr>
        <w:widowControl/>
        <w:spacing w:line="440" w:lineRule="exact"/>
        <w:ind w:firstLine="420" w:firstLineChars="200"/>
        <w:jc w:val="left"/>
        <w:rPr>
          <w:rFonts w:hint="eastAsia" w:ascii="宋体" w:hAnsi="宋体" w:cs="宋体"/>
          <w:kern w:val="0"/>
        </w:rPr>
      </w:pPr>
    </w:p>
    <w:p w14:paraId="64964BB2">
      <w:pPr>
        <w:widowControl/>
        <w:spacing w:line="440" w:lineRule="exact"/>
        <w:ind w:firstLine="420" w:firstLineChars="200"/>
        <w:jc w:val="right"/>
        <w:rPr>
          <w:rFonts w:hint="eastAsia" w:ascii="宋体" w:hAnsi="宋体" w:cs="宋体"/>
          <w:kern w:val="0"/>
        </w:rPr>
      </w:pPr>
      <w:r>
        <w:rPr>
          <w:rFonts w:hint="eastAsia" w:ascii="宋体" w:hAnsi="宋体" w:cs="宋体"/>
          <w:kern w:val="0"/>
        </w:rPr>
        <w:t>企业名称</w:t>
      </w:r>
      <w:r>
        <w:rPr>
          <w:rFonts w:hint="eastAsia" w:ascii="宋体" w:hAnsi="宋体" w:cs="宋体"/>
          <w:kern w:val="0"/>
          <w:szCs w:val="21"/>
        </w:rPr>
        <w:t>（加盖电子公章）</w:t>
      </w:r>
      <w:r>
        <w:rPr>
          <w:rFonts w:hint="eastAsia" w:ascii="宋体" w:hAnsi="宋体" w:cs="宋体"/>
          <w:kern w:val="0"/>
        </w:rPr>
        <w:t>：</w:t>
      </w:r>
    </w:p>
    <w:p w14:paraId="74590E21">
      <w:pPr>
        <w:widowControl/>
        <w:spacing w:line="360" w:lineRule="auto"/>
        <w:ind w:firstLine="420" w:firstLineChars="200"/>
        <w:jc w:val="left"/>
        <w:rPr>
          <w:rFonts w:hint="eastAsia" w:ascii="宋体" w:hAnsi="宋体" w:cs="宋体"/>
          <w:kern w:val="0"/>
        </w:rPr>
      </w:pPr>
      <w:r>
        <w:rPr>
          <w:rFonts w:hint="eastAsia" w:ascii="宋体" w:hAnsi="宋体" w:cs="宋体"/>
          <w:kern w:val="0"/>
        </w:rPr>
        <w:t xml:space="preserve">                                                   日期：</w:t>
      </w:r>
    </w:p>
    <w:p w14:paraId="441B94F6">
      <w:pPr>
        <w:widowControl/>
        <w:spacing w:line="360" w:lineRule="auto"/>
        <w:ind w:firstLine="420" w:firstLineChars="200"/>
        <w:jc w:val="left"/>
        <w:rPr>
          <w:rFonts w:hint="eastAsia" w:ascii="宋体" w:hAnsi="宋体" w:cs="宋体"/>
          <w:kern w:val="0"/>
        </w:rPr>
      </w:pPr>
    </w:p>
    <w:p w14:paraId="7C144D10">
      <w:pPr>
        <w:widowControl/>
        <w:spacing w:line="360" w:lineRule="auto"/>
        <w:ind w:firstLine="420" w:firstLineChars="200"/>
        <w:jc w:val="left"/>
        <w:rPr>
          <w:rFonts w:hint="eastAsia" w:ascii="宋体" w:hAnsi="宋体" w:cs="宋体"/>
          <w:kern w:val="0"/>
        </w:rPr>
      </w:pPr>
    </w:p>
    <w:p w14:paraId="1FD1DDDF">
      <w:pPr>
        <w:keepNext/>
        <w:keepLines/>
        <w:ind w:firstLine="420"/>
        <w:outlineLvl w:val="9"/>
        <w:rPr>
          <w:rFonts w:ascii="宋体" w:hAnsi="宋体" w:eastAsia="宋体" w:cs="宋体"/>
          <w:kern w:val="0"/>
          <w:szCs w:val="24"/>
        </w:rPr>
      </w:pPr>
      <w:r>
        <w:rPr>
          <w:rFonts w:hint="eastAsia" w:ascii="宋体" w:hAnsi="宋体" w:eastAsia="宋体" w:cs="宋体"/>
          <w:kern w:val="0"/>
          <w:szCs w:val="24"/>
        </w:rPr>
        <w:t>备注：</w:t>
      </w:r>
    </w:p>
    <w:p w14:paraId="08D8A484">
      <w:pPr>
        <w:keepNext/>
        <w:keepLines/>
        <w:ind w:firstLine="630" w:firstLineChars="300"/>
        <w:outlineLvl w:val="9"/>
        <w:rPr>
          <w:rFonts w:ascii="宋体" w:hAnsi="宋体" w:eastAsia="宋体" w:cs="宋体"/>
          <w:kern w:val="0"/>
          <w:szCs w:val="24"/>
        </w:rPr>
      </w:pPr>
      <w:r>
        <w:rPr>
          <w:rFonts w:hint="eastAsia" w:ascii="宋体" w:hAnsi="宋体" w:eastAsia="宋体" w:cs="宋体"/>
          <w:kern w:val="0"/>
          <w:szCs w:val="24"/>
        </w:rPr>
        <w:t>1.从业人员、营业收入、资产总额填报上一年度数据，无上一年度数据的新成立企业可不填报。</w:t>
      </w:r>
    </w:p>
    <w:p w14:paraId="64616B3F">
      <w:pPr>
        <w:keepNext/>
        <w:keepLines/>
        <w:ind w:firstLine="630"/>
        <w:outlineLvl w:val="9"/>
        <w:rPr>
          <w:rFonts w:ascii="宋体" w:hAnsi="宋体" w:eastAsia="宋体" w:cs="宋体"/>
          <w:b/>
          <w:bCs/>
          <w:kern w:val="0"/>
          <w:szCs w:val="24"/>
        </w:rPr>
      </w:pPr>
      <w:r>
        <w:rPr>
          <w:rFonts w:hint="eastAsia" w:ascii="宋体" w:hAnsi="宋体" w:eastAsia="宋体" w:cs="宋体"/>
          <w:kern w:val="0"/>
          <w:szCs w:val="24"/>
        </w:rPr>
        <w:t>2.在货物采购项目中，货物由中小企业制造，即货物由中小企业生产且使用该中小企业商号或者注册商标。</w:t>
      </w:r>
      <w:r>
        <w:rPr>
          <w:rFonts w:hint="eastAsia" w:ascii="宋体" w:hAnsi="宋体" w:eastAsia="宋体" w:cs="宋体"/>
          <w:b/>
          <w:bCs/>
          <w:kern w:val="0"/>
          <w:szCs w:val="24"/>
        </w:rPr>
        <w:t>供应商提供的货物既有中小企业制造货物，也有大型企业制造货物的，不享受相应扶持政策。</w:t>
      </w:r>
    </w:p>
    <w:p w14:paraId="62262A21">
      <w:pPr>
        <w:keepNext/>
        <w:keepLines/>
        <w:ind w:firstLine="630"/>
        <w:outlineLvl w:val="9"/>
        <w:rPr>
          <w:rFonts w:ascii="宋体" w:hAnsi="宋体" w:eastAsia="宋体" w:cs="宋体"/>
          <w:b/>
          <w:bCs/>
          <w:kern w:val="0"/>
          <w:szCs w:val="24"/>
        </w:rPr>
      </w:pPr>
      <w:r>
        <w:rPr>
          <w:rFonts w:hint="eastAsia" w:ascii="宋体" w:hAnsi="宋体" w:eastAsia="宋体" w:cs="宋体"/>
          <w:kern w:val="0"/>
          <w:szCs w:val="24"/>
        </w:rPr>
        <w:t>3.《中小企业声明函》中所填的行业应与本采购标的对应的中小企业划分标准所属行业一致，不一致的不可享受相应政策优惠。</w:t>
      </w:r>
      <w:r>
        <w:rPr>
          <w:rFonts w:hint="eastAsia" w:ascii="宋体" w:hAnsi="宋体" w:eastAsia="宋体" w:cs="宋体"/>
          <w:b/>
          <w:bCs/>
          <w:kern w:val="0"/>
          <w:szCs w:val="24"/>
        </w:rPr>
        <w:t>本采购标的对应的中小企业划分标准所属行业，以采购文件中具体规定为准。</w:t>
      </w:r>
    </w:p>
    <w:p w14:paraId="26542EF8">
      <w:pPr>
        <w:keepNext/>
        <w:keepLines/>
        <w:ind w:firstLine="632"/>
        <w:outlineLvl w:val="9"/>
        <w:rPr>
          <w:rFonts w:ascii="宋体" w:hAnsi="宋体" w:eastAsia="宋体" w:cs="宋体"/>
          <w:b/>
          <w:bCs/>
          <w:kern w:val="0"/>
          <w:szCs w:val="24"/>
        </w:rPr>
      </w:pPr>
      <w:r>
        <w:rPr>
          <w:rFonts w:hint="eastAsia" w:ascii="宋体" w:hAnsi="宋体" w:eastAsia="宋体" w:cs="宋体"/>
          <w:b/>
          <w:bCs/>
          <w:kern w:val="0"/>
          <w:szCs w:val="24"/>
        </w:rPr>
        <w:t>4.如未对（中型企业、小型企业、微型企业）进行勾选，视同非中小微企业，不可享受相应扶持政策。</w:t>
      </w:r>
    </w:p>
    <w:p w14:paraId="42F8A93F">
      <w:pPr>
        <w:spacing w:line="360" w:lineRule="auto"/>
        <w:ind w:left="840" w:hanging="210"/>
        <w:outlineLvl w:val="9"/>
        <w:rPr>
          <w:rFonts w:ascii="宋体" w:hAnsi="宋体" w:eastAsia="宋体" w:cs="宋体"/>
          <w:kern w:val="0"/>
          <w:szCs w:val="24"/>
          <w:lang w:val="zh-CN"/>
        </w:rPr>
      </w:pPr>
      <w:r>
        <w:rPr>
          <w:rFonts w:hint="eastAsia" w:ascii="宋体" w:hAnsi="宋体" w:eastAsia="宋体" w:cs="宋体"/>
          <w:kern w:val="0"/>
          <w:szCs w:val="24"/>
        </w:rPr>
        <w:t>5.中标单位为中小企业的，《中小企业声明函》将随中标结果同时公告</w:t>
      </w:r>
      <w:r>
        <w:rPr>
          <w:rFonts w:hint="eastAsia" w:ascii="宋体" w:hAnsi="宋体" w:eastAsia="宋体" w:cs="宋体"/>
          <w:kern w:val="0"/>
          <w:szCs w:val="24"/>
          <w:lang w:val="zh-CN"/>
        </w:rPr>
        <w:t>。</w:t>
      </w:r>
    </w:p>
    <w:p w14:paraId="2D4FB030">
      <w:pPr>
        <w:spacing w:line="360" w:lineRule="auto"/>
        <w:ind w:left="840" w:hanging="210"/>
        <w:outlineLvl w:val="9"/>
        <w:rPr>
          <w:rFonts w:ascii="宋体" w:hAnsi="宋体" w:eastAsia="宋体" w:cs="宋体"/>
          <w:kern w:val="0"/>
          <w:szCs w:val="24"/>
          <w:lang w:val="zh-CN"/>
        </w:rPr>
      </w:pPr>
    </w:p>
    <w:p w14:paraId="0F6F2E4C">
      <w:pPr>
        <w:outlineLvl w:val="9"/>
        <w:rPr>
          <w:rFonts w:ascii="宋体" w:hAnsi="宋体" w:eastAsia="宋体" w:cs="Times New Roman"/>
          <w:b/>
          <w:kern w:val="0"/>
          <w:szCs w:val="24"/>
        </w:rPr>
      </w:pPr>
      <w:r>
        <w:rPr>
          <w:rFonts w:hint="eastAsia" w:ascii="宋体" w:hAnsi="宋体" w:eastAsia="宋体" w:cs="Times New Roman"/>
          <w:b/>
          <w:kern w:val="0"/>
          <w:szCs w:val="24"/>
        </w:rPr>
        <w:t>附：中小企业划型标准规定</w:t>
      </w:r>
    </w:p>
    <w:p w14:paraId="4D50E6F6">
      <w:pPr>
        <w:ind w:firstLine="422"/>
        <w:outlineLvl w:val="9"/>
        <w:rPr>
          <w:rFonts w:ascii="宋体" w:hAnsi="宋体" w:eastAsia="宋体" w:cs="Times New Roman"/>
          <w:kern w:val="0"/>
          <w:szCs w:val="24"/>
        </w:rPr>
      </w:pPr>
      <w:r>
        <w:rPr>
          <w:rFonts w:hint="eastAsia" w:ascii="宋体" w:hAnsi="宋体" w:eastAsia="宋体" w:cs="Times New Roman"/>
          <w:b/>
          <w:kern w:val="0"/>
          <w:szCs w:val="24"/>
        </w:rPr>
        <w:t>（一）农、林、牧、渔业。</w:t>
      </w:r>
      <w:r>
        <w:rPr>
          <w:rFonts w:hint="eastAsia" w:ascii="宋体" w:hAnsi="宋体" w:eastAsia="宋体" w:cs="Times New Roman"/>
          <w:kern w:val="0"/>
          <w:szCs w:val="24"/>
        </w:rPr>
        <w:t>营业收入20000万元以下的为中小微型企业。其中，营业收入500万元及以上的为中型企业，营业收入50万元及以上的为小型企业，营业收入50万元以下的为微型企业。</w:t>
      </w:r>
    </w:p>
    <w:p w14:paraId="16838942">
      <w:pPr>
        <w:ind w:firstLine="422"/>
        <w:outlineLvl w:val="9"/>
        <w:rPr>
          <w:rFonts w:ascii="宋体" w:hAnsi="宋体" w:eastAsia="宋体" w:cs="Times New Roman"/>
          <w:kern w:val="0"/>
          <w:szCs w:val="24"/>
        </w:rPr>
      </w:pPr>
      <w:r>
        <w:rPr>
          <w:rFonts w:hint="eastAsia" w:ascii="宋体" w:hAnsi="宋体" w:eastAsia="宋体" w:cs="Times New Roman"/>
          <w:b/>
          <w:kern w:val="0"/>
          <w:szCs w:val="24"/>
        </w:rPr>
        <w:t>（二）工业。</w:t>
      </w:r>
      <w:r>
        <w:rPr>
          <w:rFonts w:hint="eastAsia" w:ascii="宋体" w:hAnsi="宋体" w:eastAsia="宋体" w:cs="Times New Roman"/>
          <w:kern w:val="0"/>
          <w:szCs w:val="24"/>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58E9726">
      <w:pPr>
        <w:ind w:firstLine="422"/>
        <w:outlineLvl w:val="9"/>
        <w:rPr>
          <w:rFonts w:ascii="宋体" w:hAnsi="宋体" w:eastAsia="宋体" w:cs="Times New Roman"/>
          <w:kern w:val="0"/>
          <w:szCs w:val="24"/>
        </w:rPr>
      </w:pPr>
      <w:r>
        <w:rPr>
          <w:rFonts w:hint="eastAsia" w:ascii="宋体" w:hAnsi="宋体" w:eastAsia="宋体" w:cs="Times New Roman"/>
          <w:b/>
          <w:kern w:val="0"/>
          <w:szCs w:val="24"/>
        </w:rPr>
        <w:t>（三）建筑业。</w:t>
      </w:r>
      <w:r>
        <w:rPr>
          <w:rFonts w:hint="eastAsia" w:ascii="宋体" w:hAnsi="宋体" w:eastAsia="宋体" w:cs="Times New Roman"/>
          <w:kern w:val="0"/>
          <w:szCs w:val="24"/>
        </w:rPr>
        <w:t>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8AEADDB">
      <w:pPr>
        <w:ind w:firstLine="422"/>
        <w:outlineLvl w:val="9"/>
        <w:rPr>
          <w:rFonts w:ascii="宋体" w:hAnsi="宋体" w:eastAsia="宋体" w:cs="Times New Roman"/>
          <w:kern w:val="0"/>
          <w:szCs w:val="24"/>
        </w:rPr>
      </w:pPr>
      <w:r>
        <w:rPr>
          <w:rFonts w:hint="eastAsia" w:ascii="宋体" w:hAnsi="宋体" w:eastAsia="宋体" w:cs="Times New Roman"/>
          <w:b/>
          <w:kern w:val="0"/>
          <w:szCs w:val="24"/>
        </w:rPr>
        <w:t>（四）批发业。</w:t>
      </w:r>
      <w:r>
        <w:rPr>
          <w:rFonts w:hint="eastAsia" w:ascii="宋体" w:hAnsi="宋体" w:eastAsia="宋体" w:cs="Times New Roman"/>
          <w:kern w:val="0"/>
          <w:szCs w:val="24"/>
        </w:rPr>
        <w:t>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A0A0C1A">
      <w:pPr>
        <w:ind w:firstLine="422"/>
        <w:outlineLvl w:val="9"/>
        <w:rPr>
          <w:rFonts w:ascii="宋体" w:hAnsi="宋体" w:eastAsia="宋体" w:cs="Times New Roman"/>
          <w:kern w:val="0"/>
          <w:szCs w:val="24"/>
        </w:rPr>
      </w:pPr>
      <w:r>
        <w:rPr>
          <w:rFonts w:hint="eastAsia" w:ascii="宋体" w:hAnsi="宋体" w:eastAsia="宋体" w:cs="Times New Roman"/>
          <w:b/>
          <w:kern w:val="0"/>
          <w:szCs w:val="24"/>
        </w:rPr>
        <w:t>（五）零售业。</w:t>
      </w:r>
      <w:r>
        <w:rPr>
          <w:rFonts w:hint="eastAsia" w:ascii="宋体" w:hAnsi="宋体" w:eastAsia="宋体" w:cs="Times New Roman"/>
          <w:kern w:val="0"/>
          <w:szCs w:val="24"/>
        </w:rPr>
        <w:t>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C31FAD6">
      <w:pPr>
        <w:ind w:firstLine="422"/>
        <w:outlineLvl w:val="9"/>
        <w:rPr>
          <w:rFonts w:ascii="宋体" w:hAnsi="宋体" w:eastAsia="宋体" w:cs="Times New Roman"/>
          <w:kern w:val="0"/>
          <w:szCs w:val="24"/>
        </w:rPr>
      </w:pPr>
      <w:r>
        <w:rPr>
          <w:rFonts w:hint="eastAsia" w:ascii="宋体" w:hAnsi="宋体" w:eastAsia="宋体" w:cs="Times New Roman"/>
          <w:b/>
          <w:kern w:val="0"/>
          <w:szCs w:val="24"/>
        </w:rPr>
        <w:t>（六）交通运输业。</w:t>
      </w:r>
      <w:r>
        <w:rPr>
          <w:rFonts w:hint="eastAsia" w:ascii="宋体" w:hAnsi="宋体" w:eastAsia="宋体" w:cs="Times New Roman"/>
          <w:kern w:val="0"/>
          <w:szCs w:val="24"/>
        </w:rPr>
        <w:t>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A25616C">
      <w:pPr>
        <w:ind w:firstLine="422"/>
        <w:outlineLvl w:val="9"/>
        <w:rPr>
          <w:rFonts w:ascii="宋体" w:hAnsi="宋体" w:eastAsia="宋体" w:cs="Times New Roman"/>
          <w:kern w:val="0"/>
          <w:szCs w:val="24"/>
        </w:rPr>
      </w:pPr>
      <w:r>
        <w:rPr>
          <w:rFonts w:hint="eastAsia" w:ascii="宋体" w:hAnsi="宋体" w:eastAsia="宋体" w:cs="Times New Roman"/>
          <w:b/>
          <w:kern w:val="0"/>
          <w:szCs w:val="24"/>
        </w:rPr>
        <w:t>（七）仓储业。</w:t>
      </w:r>
      <w:r>
        <w:rPr>
          <w:rFonts w:hint="eastAsia" w:ascii="宋体" w:hAnsi="宋体" w:eastAsia="宋体" w:cs="Times New Roman"/>
          <w:kern w:val="0"/>
          <w:szCs w:val="24"/>
        </w:rPr>
        <w:t>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786F7013">
      <w:pPr>
        <w:ind w:firstLine="422"/>
        <w:outlineLvl w:val="9"/>
        <w:rPr>
          <w:rFonts w:ascii="宋体" w:hAnsi="宋体" w:eastAsia="宋体" w:cs="Times New Roman"/>
          <w:kern w:val="0"/>
          <w:szCs w:val="24"/>
        </w:rPr>
      </w:pPr>
      <w:r>
        <w:rPr>
          <w:rFonts w:hint="eastAsia" w:ascii="宋体" w:hAnsi="宋体" w:eastAsia="宋体" w:cs="Times New Roman"/>
          <w:b/>
          <w:kern w:val="0"/>
          <w:szCs w:val="24"/>
        </w:rPr>
        <w:t>（八）邮政业。</w:t>
      </w:r>
      <w:r>
        <w:rPr>
          <w:rFonts w:hint="eastAsia" w:ascii="宋体" w:hAnsi="宋体" w:eastAsia="宋体" w:cs="Times New Roman"/>
          <w:kern w:val="0"/>
          <w:szCs w:val="24"/>
        </w:rPr>
        <w:t>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741E58CC">
      <w:pPr>
        <w:ind w:firstLine="422"/>
        <w:outlineLvl w:val="9"/>
        <w:rPr>
          <w:rFonts w:ascii="宋体" w:hAnsi="宋体" w:eastAsia="宋体" w:cs="Times New Roman"/>
          <w:kern w:val="0"/>
          <w:szCs w:val="24"/>
        </w:rPr>
      </w:pPr>
      <w:r>
        <w:rPr>
          <w:rFonts w:hint="eastAsia" w:ascii="宋体" w:hAnsi="宋体" w:eastAsia="宋体" w:cs="Times New Roman"/>
          <w:b/>
          <w:kern w:val="0"/>
          <w:szCs w:val="24"/>
        </w:rPr>
        <w:t>（九）住宿业。</w:t>
      </w:r>
      <w:r>
        <w:rPr>
          <w:rFonts w:hint="eastAsia" w:ascii="宋体" w:hAnsi="宋体" w:eastAsia="宋体" w:cs="Times New Roman"/>
          <w:kern w:val="0"/>
          <w:szCs w:val="24"/>
        </w:rPr>
        <w:t>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FA00C17">
      <w:pPr>
        <w:ind w:firstLine="422"/>
        <w:outlineLvl w:val="9"/>
        <w:rPr>
          <w:rFonts w:ascii="宋体" w:hAnsi="宋体" w:eastAsia="宋体" w:cs="Times New Roman"/>
          <w:kern w:val="0"/>
          <w:szCs w:val="24"/>
        </w:rPr>
      </w:pPr>
      <w:r>
        <w:rPr>
          <w:rFonts w:hint="eastAsia" w:ascii="宋体" w:hAnsi="宋体" w:eastAsia="宋体" w:cs="Times New Roman"/>
          <w:b/>
          <w:kern w:val="0"/>
          <w:szCs w:val="24"/>
        </w:rPr>
        <w:t>（十）餐饮业。</w:t>
      </w:r>
      <w:r>
        <w:rPr>
          <w:rFonts w:hint="eastAsia" w:ascii="宋体" w:hAnsi="宋体" w:eastAsia="宋体" w:cs="Times New Roman"/>
          <w:kern w:val="0"/>
          <w:szCs w:val="24"/>
        </w:rPr>
        <w:t>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30742D2">
      <w:pPr>
        <w:ind w:firstLine="422"/>
        <w:outlineLvl w:val="9"/>
        <w:rPr>
          <w:rFonts w:ascii="宋体" w:hAnsi="宋体" w:eastAsia="宋体" w:cs="Times New Roman"/>
          <w:kern w:val="0"/>
          <w:szCs w:val="24"/>
        </w:rPr>
      </w:pPr>
      <w:r>
        <w:rPr>
          <w:rFonts w:hint="eastAsia" w:ascii="宋体" w:hAnsi="宋体" w:eastAsia="宋体" w:cs="Times New Roman"/>
          <w:b/>
          <w:kern w:val="0"/>
          <w:szCs w:val="24"/>
        </w:rPr>
        <w:t>（十一）信息传输业。</w:t>
      </w:r>
      <w:r>
        <w:rPr>
          <w:rFonts w:hint="eastAsia" w:ascii="宋体" w:hAnsi="宋体" w:eastAsia="宋体" w:cs="Times New Roman"/>
          <w:kern w:val="0"/>
          <w:szCs w:val="24"/>
        </w:rPr>
        <w:t>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0D0D98A">
      <w:pPr>
        <w:ind w:firstLine="422"/>
        <w:outlineLvl w:val="9"/>
        <w:rPr>
          <w:rFonts w:ascii="宋体" w:hAnsi="宋体" w:eastAsia="宋体" w:cs="Times New Roman"/>
          <w:kern w:val="0"/>
          <w:szCs w:val="24"/>
        </w:rPr>
      </w:pPr>
      <w:r>
        <w:rPr>
          <w:rFonts w:hint="eastAsia" w:ascii="宋体" w:hAnsi="宋体" w:eastAsia="宋体" w:cs="Times New Roman"/>
          <w:b/>
          <w:kern w:val="0"/>
          <w:szCs w:val="24"/>
        </w:rPr>
        <w:t>（十二）软件和信息技术服务业。</w:t>
      </w:r>
      <w:r>
        <w:rPr>
          <w:rFonts w:hint="eastAsia" w:ascii="宋体" w:hAnsi="宋体" w:eastAsia="宋体" w:cs="Times New Roman"/>
          <w:kern w:val="0"/>
          <w:szCs w:val="24"/>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DDD5D1B">
      <w:pPr>
        <w:ind w:firstLine="422"/>
        <w:outlineLvl w:val="9"/>
        <w:rPr>
          <w:rFonts w:ascii="宋体" w:hAnsi="宋体" w:eastAsia="宋体" w:cs="Times New Roman"/>
          <w:kern w:val="0"/>
          <w:szCs w:val="24"/>
        </w:rPr>
      </w:pPr>
      <w:r>
        <w:rPr>
          <w:rFonts w:hint="eastAsia" w:ascii="宋体" w:hAnsi="宋体" w:eastAsia="宋体" w:cs="Times New Roman"/>
          <w:b/>
          <w:kern w:val="0"/>
          <w:szCs w:val="24"/>
        </w:rPr>
        <w:t>（十三）房地产开发经营。</w:t>
      </w:r>
      <w:r>
        <w:rPr>
          <w:rFonts w:hint="eastAsia" w:ascii="宋体" w:hAnsi="宋体" w:eastAsia="宋体" w:cs="Times New Roman"/>
          <w:kern w:val="0"/>
          <w:szCs w:val="24"/>
        </w:rPr>
        <w:t>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81BCAB5">
      <w:pPr>
        <w:ind w:firstLine="422"/>
        <w:outlineLvl w:val="9"/>
        <w:rPr>
          <w:rFonts w:ascii="宋体" w:hAnsi="宋体" w:eastAsia="宋体" w:cs="Times New Roman"/>
          <w:kern w:val="0"/>
          <w:szCs w:val="24"/>
        </w:rPr>
      </w:pPr>
      <w:r>
        <w:rPr>
          <w:rFonts w:hint="eastAsia" w:ascii="宋体" w:hAnsi="宋体" w:eastAsia="宋体" w:cs="Times New Roman"/>
          <w:b/>
          <w:kern w:val="0"/>
          <w:szCs w:val="24"/>
        </w:rPr>
        <w:t>（十四）物业管理。</w:t>
      </w:r>
      <w:r>
        <w:rPr>
          <w:rFonts w:hint="eastAsia" w:ascii="宋体" w:hAnsi="宋体" w:eastAsia="宋体" w:cs="Times New Roman"/>
          <w:kern w:val="0"/>
          <w:szCs w:val="24"/>
        </w:rPr>
        <w:t>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8D72A43">
      <w:pPr>
        <w:ind w:firstLine="422"/>
        <w:outlineLvl w:val="9"/>
        <w:rPr>
          <w:rFonts w:ascii="宋体" w:hAnsi="宋体" w:eastAsia="宋体" w:cs="Times New Roman"/>
          <w:kern w:val="0"/>
          <w:szCs w:val="24"/>
        </w:rPr>
      </w:pPr>
      <w:r>
        <w:rPr>
          <w:rFonts w:hint="eastAsia" w:ascii="宋体" w:hAnsi="宋体" w:eastAsia="宋体" w:cs="Times New Roman"/>
          <w:b/>
          <w:kern w:val="0"/>
          <w:szCs w:val="24"/>
        </w:rPr>
        <w:t>（十五）租赁和商务服务业。</w:t>
      </w:r>
      <w:r>
        <w:rPr>
          <w:rFonts w:hint="eastAsia" w:ascii="宋体" w:hAnsi="宋体" w:eastAsia="宋体" w:cs="Times New Roman"/>
          <w:kern w:val="0"/>
          <w:szCs w:val="24"/>
        </w:rPr>
        <w:t>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D2D0D4D">
      <w:pPr>
        <w:widowControl/>
        <w:spacing w:line="360" w:lineRule="auto"/>
        <w:ind w:firstLine="422" w:firstLineChars="200"/>
        <w:jc w:val="left"/>
        <w:outlineLvl w:val="9"/>
        <w:rPr>
          <w:rFonts w:hint="eastAsia" w:ascii="宋体" w:hAnsi="宋体" w:cs="宋体"/>
          <w:b/>
          <w:snapToGrid w:val="0"/>
          <w:kern w:val="0"/>
          <w:szCs w:val="21"/>
        </w:rPr>
      </w:pPr>
      <w:r>
        <w:rPr>
          <w:rFonts w:hint="eastAsia" w:ascii="宋体" w:hAnsi="宋体" w:eastAsia="宋体" w:cs="Times New Roman"/>
          <w:b/>
          <w:kern w:val="0"/>
          <w:szCs w:val="24"/>
        </w:rPr>
        <w:t>（十六）其他未列明行业。</w:t>
      </w:r>
      <w:r>
        <w:rPr>
          <w:rFonts w:hint="eastAsia" w:ascii="宋体" w:hAnsi="宋体" w:eastAsia="宋体" w:cs="Times New Roman"/>
          <w:kern w:val="0"/>
          <w:szCs w:val="24"/>
        </w:rPr>
        <w:t>从业人员300人以下的为中小微型企业。其中，从业人员100人及以上的为中型企业；从业人员10人及以上的为小型企业；从业人员10人以下的为微型企业。</w:t>
      </w:r>
    </w:p>
    <w:p w14:paraId="1E1B409B">
      <w:pPr>
        <w:spacing w:line="360" w:lineRule="auto"/>
        <w:jc w:val="center"/>
        <w:rPr>
          <w:rFonts w:hint="eastAsia" w:ascii="宋体" w:hAnsi="宋体" w:cs="宋体"/>
          <w:b/>
          <w:bCs/>
          <w:sz w:val="28"/>
        </w:rPr>
      </w:pPr>
    </w:p>
    <w:p w14:paraId="27F152F7">
      <w:pPr>
        <w:pStyle w:val="42"/>
        <w:keepNext w:val="0"/>
        <w:keepLines w:val="0"/>
        <w:pageBreakBefore/>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kinsoku/>
        <w:wordWrap/>
        <w:overflowPunct/>
        <w:topLinePunct w:val="0"/>
        <w:autoSpaceDE/>
        <w:autoSpaceDN/>
        <w:bidi w:val="0"/>
        <w:adjustRightInd/>
        <w:snapToGrid/>
        <w:spacing w:before="15" w:beforeAutospacing="0" w:after="15" w:afterAutospacing="0"/>
        <w:ind w:left="0" w:right="0"/>
        <w:jc w:val="center"/>
        <w:textAlignment w:val="auto"/>
      </w:pPr>
      <w:r>
        <w:rPr>
          <w:rFonts w:hint="eastAsia" w:ascii="宋体" w:hAnsi="宋体" w:eastAsia="宋体" w:cs="宋体"/>
          <w:b/>
          <w:bCs/>
          <w:color w:val="333333"/>
          <w:sz w:val="30"/>
          <w:szCs w:val="30"/>
          <w:shd w:val="clear" w:fill="FFFFFF"/>
        </w:rPr>
        <w:t>关于符合本国产品标准的声明函</w:t>
      </w:r>
    </w:p>
    <w:p w14:paraId="5AFA8199">
      <w:pPr>
        <w:pStyle w:val="4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15" w:beforeAutospacing="0" w:after="15" w:afterAutospacing="0"/>
        <w:ind w:left="0" w:firstLine="420"/>
      </w:pPr>
      <w:r>
        <w:rPr>
          <w:shd w:val="clear" w:fill="FFFFFF"/>
        </w:rPr>
        <w:t> </w:t>
      </w:r>
    </w:p>
    <w:p w14:paraId="39EA3A20">
      <w:pPr>
        <w:pStyle w:val="4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20"/>
      </w:pPr>
      <w:r>
        <w:rPr>
          <w:rFonts w:hint="eastAsia" w:ascii="宋体" w:hAnsi="宋体" w:eastAsia="宋体" w:cs="宋体"/>
          <w:color w:val="000000"/>
          <w:sz w:val="21"/>
          <w:szCs w:val="21"/>
        </w:rPr>
        <w:t>本公司（单位）郑重声明，根据《国务院办公厅关于在政府采购中实施本国产品标准及相关政策的通知》（国办发〔2025〕34号）的规定，本公司（单位）提供的以下产品属于本国产品。具体情况如下：</w:t>
      </w:r>
    </w:p>
    <w:p w14:paraId="05B391E3">
      <w:pPr>
        <w:pStyle w:val="4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30" w:beforeAutospacing="0" w:after="30" w:afterAutospacing="0" w:line="360" w:lineRule="auto"/>
        <w:ind w:left="0" w:firstLine="420"/>
      </w:pPr>
      <w:r>
        <w:rPr>
          <w:rFonts w:hint="eastAsia" w:ascii="宋体" w:hAnsi="宋体" w:eastAsia="宋体" w:cs="宋体"/>
          <w:color w:val="000000"/>
          <w:sz w:val="21"/>
          <w:szCs w:val="21"/>
          <w:shd w:val="clear" w:fill="FFFFFF"/>
        </w:rPr>
        <w:t>1.</w:t>
      </w:r>
      <w:r>
        <w:rPr>
          <w:rFonts w:hint="eastAsia" w:ascii="宋体" w:hAnsi="宋体" w:eastAsia="宋体" w:cs="宋体"/>
          <w:color w:val="000000"/>
          <w:sz w:val="21"/>
          <w:szCs w:val="21"/>
          <w:u w:val="single"/>
          <w:shd w:val="clear" w:fill="FFFFFF"/>
        </w:rPr>
        <w:t>（产品名称1）</w:t>
      </w:r>
      <w:r>
        <w:rPr>
          <w:rFonts w:hint="eastAsia" w:ascii="宋体" w:hAnsi="宋体" w:eastAsia="宋体" w:cs="宋体"/>
          <w:color w:val="000000"/>
          <w:sz w:val="21"/>
          <w:szCs w:val="21"/>
          <w:shd w:val="clear" w:fill="FFFFFF"/>
          <w:vertAlign w:val="superscript"/>
        </w:rPr>
        <w:t>1</w:t>
      </w:r>
      <w:r>
        <w:rPr>
          <w:rFonts w:hint="eastAsia" w:ascii="宋体" w:hAnsi="宋体" w:eastAsia="宋体" w:cs="宋体"/>
          <w:color w:val="000000"/>
          <w:sz w:val="21"/>
          <w:szCs w:val="21"/>
          <w:shd w:val="clear" w:fill="FFFFFF"/>
        </w:rPr>
        <w:t>，生产厂为</w:t>
      </w:r>
      <w:r>
        <w:rPr>
          <w:rFonts w:hint="eastAsia" w:ascii="宋体" w:hAnsi="宋体" w:eastAsia="宋体" w:cs="宋体"/>
          <w:color w:val="000000"/>
          <w:sz w:val="21"/>
          <w:szCs w:val="21"/>
          <w:u w:val="single"/>
          <w:shd w:val="clear" w:fill="FFFFFF"/>
        </w:rPr>
        <w:t>（厂名）</w:t>
      </w:r>
      <w:r>
        <w:rPr>
          <w:rFonts w:hint="eastAsia" w:ascii="宋体" w:hAnsi="宋体" w:eastAsia="宋体" w:cs="宋体"/>
          <w:color w:val="000000"/>
          <w:sz w:val="21"/>
          <w:szCs w:val="21"/>
          <w:shd w:val="clear" w:fill="FFFFFF"/>
          <w:vertAlign w:val="superscript"/>
        </w:rPr>
        <w:t>2</w:t>
      </w:r>
      <w:r>
        <w:rPr>
          <w:rFonts w:hint="eastAsia" w:ascii="宋体" w:hAnsi="宋体" w:eastAsia="宋体" w:cs="宋体"/>
          <w:color w:val="000000"/>
          <w:sz w:val="21"/>
          <w:szCs w:val="21"/>
          <w:shd w:val="clear" w:fill="FFFFFF"/>
        </w:rPr>
        <w:t>，厂址为</w:t>
      </w:r>
      <w:r>
        <w:rPr>
          <w:rFonts w:hint="eastAsia" w:ascii="宋体" w:hAnsi="宋体" w:eastAsia="宋体" w:cs="宋体"/>
          <w:color w:val="000000"/>
          <w:sz w:val="21"/>
          <w:szCs w:val="21"/>
          <w:u w:val="single"/>
          <w:shd w:val="clear" w:fill="FFFFFF"/>
        </w:rPr>
        <w:t>（生产厂址）</w:t>
      </w:r>
      <w:r>
        <w:rPr>
          <w:rFonts w:hint="eastAsia" w:ascii="宋体" w:hAnsi="宋体" w:eastAsia="宋体" w:cs="宋体"/>
          <w:color w:val="000000"/>
          <w:sz w:val="21"/>
          <w:szCs w:val="21"/>
          <w:shd w:val="clear" w:fill="FFFFFF"/>
        </w:rPr>
        <w:t>。</w:t>
      </w:r>
      <w:r>
        <w:rPr>
          <w:rFonts w:hint="eastAsia" w:ascii="宋体" w:hAnsi="宋体" w:eastAsia="宋体" w:cs="宋体"/>
          <w:color w:val="000000"/>
          <w:sz w:val="21"/>
          <w:szCs w:val="21"/>
          <w:u w:val="single"/>
          <w:shd w:val="clear" w:fill="FFFFFF"/>
        </w:rPr>
        <w:t xml:space="preserve"> / </w:t>
      </w:r>
      <w:r>
        <w:rPr>
          <w:rFonts w:hint="eastAsia" w:ascii="宋体" w:hAnsi="宋体" w:eastAsia="宋体" w:cs="宋体"/>
          <w:color w:val="000000"/>
          <w:sz w:val="21"/>
          <w:szCs w:val="21"/>
          <w:shd w:val="clear" w:fill="FFFFFF"/>
        </w:rPr>
        <w:t>的中国境内生产的组件成本占比≥</w:t>
      </w:r>
      <w:r>
        <w:rPr>
          <w:rFonts w:hint="eastAsia" w:ascii="宋体" w:hAnsi="宋体" w:eastAsia="宋体" w:cs="宋体"/>
          <w:color w:val="000000"/>
          <w:sz w:val="21"/>
          <w:szCs w:val="21"/>
          <w:u w:val="single"/>
          <w:shd w:val="clear" w:fill="FFFFFF"/>
        </w:rPr>
        <w:t xml:space="preserve">  /  </w:t>
      </w:r>
      <w:r>
        <w:rPr>
          <w:rFonts w:hint="eastAsia" w:ascii="宋体" w:hAnsi="宋体" w:eastAsia="宋体" w:cs="宋体"/>
          <w:color w:val="000000"/>
          <w:sz w:val="21"/>
          <w:szCs w:val="21"/>
          <w:shd w:val="clear" w:fill="FFFFFF"/>
          <w:vertAlign w:val="superscript"/>
        </w:rPr>
        <w:t>3</w:t>
      </w:r>
      <w:r>
        <w:rPr>
          <w:rFonts w:hint="eastAsia" w:ascii="宋体" w:hAnsi="宋体" w:eastAsia="宋体" w:cs="宋体"/>
          <w:color w:val="000000"/>
          <w:sz w:val="21"/>
          <w:szCs w:val="21"/>
          <w:shd w:val="clear" w:fill="FFFFFF"/>
        </w:rPr>
        <w:t>。</w:t>
      </w:r>
      <w:r>
        <w:rPr>
          <w:rFonts w:hint="eastAsia" w:ascii="宋体" w:hAnsi="宋体" w:eastAsia="宋体" w:cs="宋体"/>
          <w:color w:val="000000"/>
          <w:sz w:val="21"/>
          <w:szCs w:val="21"/>
          <w:u w:val="single"/>
          <w:shd w:val="clear" w:fill="FFFFFF"/>
        </w:rPr>
        <w:t xml:space="preserve">  /  </w:t>
      </w:r>
      <w:r>
        <w:rPr>
          <w:rFonts w:hint="eastAsia" w:ascii="宋体" w:hAnsi="宋体" w:eastAsia="宋体" w:cs="宋体"/>
          <w:color w:val="000000"/>
          <w:sz w:val="21"/>
          <w:szCs w:val="21"/>
          <w:shd w:val="clear" w:fill="FFFFFF"/>
        </w:rPr>
        <w:t>的</w:t>
      </w:r>
      <w:r>
        <w:rPr>
          <w:rFonts w:hint="eastAsia" w:ascii="宋体" w:hAnsi="宋体" w:eastAsia="宋体" w:cs="宋体"/>
          <w:color w:val="000000"/>
          <w:sz w:val="21"/>
          <w:szCs w:val="21"/>
          <w:u w:val="single"/>
          <w:shd w:val="clear" w:fill="FFFFFF"/>
        </w:rPr>
        <w:t xml:space="preserve">  /  </w:t>
      </w:r>
      <w:r>
        <w:rPr>
          <w:rFonts w:hint="eastAsia" w:ascii="宋体" w:hAnsi="宋体" w:eastAsia="宋体" w:cs="宋体"/>
          <w:color w:val="000000"/>
          <w:sz w:val="21"/>
          <w:szCs w:val="21"/>
          <w:shd w:val="clear" w:fill="FFFFFF"/>
          <w:vertAlign w:val="superscript"/>
        </w:rPr>
        <w:t>4</w:t>
      </w:r>
      <w:r>
        <w:rPr>
          <w:rFonts w:hint="eastAsia" w:ascii="宋体" w:hAnsi="宋体" w:eastAsia="宋体" w:cs="宋体"/>
          <w:color w:val="000000"/>
          <w:sz w:val="21"/>
          <w:szCs w:val="21"/>
          <w:shd w:val="clear" w:fill="FFFFFF"/>
        </w:rPr>
        <w:t>在中国境内生产。</w:t>
      </w:r>
      <w:r>
        <w:rPr>
          <w:rFonts w:hint="eastAsia" w:ascii="宋体" w:hAnsi="宋体" w:eastAsia="宋体" w:cs="宋体"/>
          <w:color w:val="000000"/>
          <w:sz w:val="21"/>
          <w:szCs w:val="21"/>
          <w:u w:val="single"/>
          <w:shd w:val="clear" w:fill="FFFFFF"/>
        </w:rPr>
        <w:t xml:space="preserve">  /  </w:t>
      </w:r>
      <w:r>
        <w:rPr>
          <w:rFonts w:hint="eastAsia" w:ascii="宋体" w:hAnsi="宋体" w:eastAsia="宋体" w:cs="宋体"/>
          <w:color w:val="000000"/>
          <w:sz w:val="21"/>
          <w:szCs w:val="21"/>
          <w:shd w:val="clear" w:fill="FFFFFF"/>
        </w:rPr>
        <w:t>的</w:t>
      </w:r>
      <w:r>
        <w:rPr>
          <w:rFonts w:hint="eastAsia" w:ascii="宋体" w:hAnsi="宋体" w:eastAsia="宋体" w:cs="宋体"/>
          <w:color w:val="000000"/>
          <w:sz w:val="21"/>
          <w:szCs w:val="21"/>
          <w:u w:val="single"/>
          <w:shd w:val="clear" w:fill="FFFFFF"/>
        </w:rPr>
        <w:t xml:space="preserve">  /  </w:t>
      </w:r>
      <w:r>
        <w:rPr>
          <w:rFonts w:hint="eastAsia" w:ascii="宋体" w:hAnsi="宋体" w:eastAsia="宋体" w:cs="宋体"/>
          <w:color w:val="000000"/>
          <w:sz w:val="21"/>
          <w:szCs w:val="21"/>
          <w:shd w:val="clear" w:fill="FFFFFF"/>
          <w:vertAlign w:val="superscript"/>
        </w:rPr>
        <w:t>5</w:t>
      </w:r>
      <w:r>
        <w:rPr>
          <w:rFonts w:hint="eastAsia" w:ascii="宋体" w:hAnsi="宋体" w:eastAsia="宋体" w:cs="宋体"/>
          <w:color w:val="000000"/>
          <w:sz w:val="21"/>
          <w:szCs w:val="21"/>
          <w:shd w:val="clear" w:fill="FFFFFF"/>
        </w:rPr>
        <w:t>在中国境内完成。</w:t>
      </w:r>
    </w:p>
    <w:p w14:paraId="032A73B6">
      <w:pPr>
        <w:pStyle w:val="4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30" w:beforeAutospacing="0" w:after="30" w:afterAutospacing="0" w:line="360" w:lineRule="auto"/>
        <w:ind w:left="0" w:firstLine="420"/>
      </w:pPr>
      <w:r>
        <w:rPr>
          <w:rFonts w:hint="eastAsia" w:ascii="宋体" w:hAnsi="宋体" w:eastAsia="宋体" w:cs="宋体"/>
          <w:color w:val="000000"/>
          <w:sz w:val="21"/>
          <w:szCs w:val="21"/>
          <w:shd w:val="clear" w:fill="FFFFFF"/>
        </w:rPr>
        <w:t>2.</w:t>
      </w:r>
      <w:r>
        <w:rPr>
          <w:rFonts w:hint="eastAsia" w:ascii="宋体" w:hAnsi="宋体" w:eastAsia="宋体" w:cs="宋体"/>
          <w:color w:val="000000"/>
          <w:sz w:val="21"/>
          <w:szCs w:val="21"/>
          <w:u w:val="single"/>
          <w:shd w:val="clear" w:fill="FFFFFF"/>
        </w:rPr>
        <w:t>（产品名称2）</w:t>
      </w:r>
      <w:r>
        <w:rPr>
          <w:rFonts w:hint="eastAsia" w:ascii="宋体" w:hAnsi="宋体" w:eastAsia="宋体" w:cs="宋体"/>
          <w:color w:val="000000"/>
          <w:sz w:val="21"/>
          <w:szCs w:val="21"/>
          <w:shd w:val="clear" w:fill="FFFFFF"/>
        </w:rPr>
        <w:t>，生产厂为</w:t>
      </w:r>
      <w:r>
        <w:rPr>
          <w:rFonts w:hint="eastAsia" w:ascii="宋体" w:hAnsi="宋体" w:eastAsia="宋体" w:cs="宋体"/>
          <w:color w:val="000000"/>
          <w:sz w:val="21"/>
          <w:szCs w:val="21"/>
          <w:u w:val="single"/>
          <w:shd w:val="clear" w:fill="FFFFFF"/>
        </w:rPr>
        <w:t>（厂名）</w:t>
      </w:r>
      <w:r>
        <w:rPr>
          <w:rFonts w:hint="eastAsia" w:ascii="宋体" w:hAnsi="宋体" w:eastAsia="宋体" w:cs="宋体"/>
          <w:color w:val="000000"/>
          <w:sz w:val="21"/>
          <w:szCs w:val="21"/>
          <w:shd w:val="clear" w:fill="FFFFFF"/>
        </w:rPr>
        <w:t>，厂址为</w:t>
      </w:r>
      <w:r>
        <w:rPr>
          <w:rFonts w:hint="eastAsia" w:ascii="宋体" w:hAnsi="宋体" w:eastAsia="宋体" w:cs="宋体"/>
          <w:color w:val="000000"/>
          <w:sz w:val="21"/>
          <w:szCs w:val="21"/>
          <w:u w:val="single"/>
          <w:shd w:val="clear" w:fill="FFFFFF"/>
        </w:rPr>
        <w:t>（生产厂址）</w:t>
      </w:r>
      <w:r>
        <w:rPr>
          <w:rFonts w:hint="eastAsia" w:ascii="宋体" w:hAnsi="宋体" w:eastAsia="宋体" w:cs="宋体"/>
          <w:color w:val="000000"/>
          <w:sz w:val="21"/>
          <w:szCs w:val="21"/>
          <w:shd w:val="clear" w:fill="FFFFFF"/>
        </w:rPr>
        <w:t>。</w:t>
      </w:r>
      <w:r>
        <w:rPr>
          <w:rFonts w:hint="eastAsia" w:ascii="宋体" w:hAnsi="宋体" w:eastAsia="宋体" w:cs="宋体"/>
          <w:color w:val="000000"/>
          <w:sz w:val="21"/>
          <w:szCs w:val="21"/>
          <w:u w:val="single"/>
          <w:shd w:val="clear" w:fill="FFFFFF"/>
        </w:rPr>
        <w:t xml:space="preserve"> /  </w:t>
      </w:r>
      <w:r>
        <w:rPr>
          <w:rFonts w:hint="eastAsia" w:ascii="宋体" w:hAnsi="宋体" w:eastAsia="宋体" w:cs="宋体"/>
          <w:color w:val="000000"/>
          <w:sz w:val="21"/>
          <w:szCs w:val="21"/>
          <w:shd w:val="clear" w:fill="FFFFFF"/>
        </w:rPr>
        <w:t>的中国境内生产的组件成本占比≥</w:t>
      </w:r>
      <w:r>
        <w:rPr>
          <w:rFonts w:hint="eastAsia" w:ascii="宋体" w:hAnsi="宋体" w:eastAsia="宋体" w:cs="宋体"/>
          <w:color w:val="000000"/>
          <w:sz w:val="21"/>
          <w:szCs w:val="21"/>
          <w:u w:val="single"/>
          <w:shd w:val="clear" w:fill="FFFFFF"/>
        </w:rPr>
        <w:t xml:space="preserve">  /  </w:t>
      </w:r>
      <w:r>
        <w:rPr>
          <w:rFonts w:hint="eastAsia" w:ascii="宋体" w:hAnsi="宋体" w:eastAsia="宋体" w:cs="宋体"/>
          <w:color w:val="000000"/>
          <w:sz w:val="21"/>
          <w:szCs w:val="21"/>
          <w:shd w:val="clear" w:fill="FFFFFF"/>
        </w:rPr>
        <w:t>。</w:t>
      </w:r>
      <w:r>
        <w:rPr>
          <w:rFonts w:hint="eastAsia" w:ascii="宋体" w:hAnsi="宋体" w:eastAsia="宋体" w:cs="宋体"/>
          <w:color w:val="000000"/>
          <w:sz w:val="21"/>
          <w:szCs w:val="21"/>
          <w:u w:val="single"/>
          <w:shd w:val="clear" w:fill="FFFFFF"/>
        </w:rPr>
        <w:t xml:space="preserve">  /  </w:t>
      </w:r>
      <w:r>
        <w:rPr>
          <w:rFonts w:hint="eastAsia" w:ascii="宋体" w:hAnsi="宋体" w:eastAsia="宋体" w:cs="宋体"/>
          <w:color w:val="000000"/>
          <w:sz w:val="21"/>
          <w:szCs w:val="21"/>
          <w:shd w:val="clear" w:fill="FFFFFF"/>
        </w:rPr>
        <w:t>的</w:t>
      </w:r>
      <w:r>
        <w:rPr>
          <w:rFonts w:hint="eastAsia" w:ascii="宋体" w:hAnsi="宋体" w:eastAsia="宋体" w:cs="宋体"/>
          <w:color w:val="000000"/>
          <w:sz w:val="21"/>
          <w:szCs w:val="21"/>
          <w:u w:val="single"/>
          <w:shd w:val="clear" w:fill="FFFFFF"/>
        </w:rPr>
        <w:t xml:space="preserve">  /  </w:t>
      </w:r>
      <w:r>
        <w:rPr>
          <w:rFonts w:hint="eastAsia" w:ascii="宋体" w:hAnsi="宋体" w:eastAsia="宋体" w:cs="宋体"/>
          <w:color w:val="000000"/>
          <w:sz w:val="21"/>
          <w:szCs w:val="21"/>
          <w:shd w:val="clear" w:fill="FFFFFF"/>
        </w:rPr>
        <w:t>在中国境内生产。</w:t>
      </w:r>
      <w:r>
        <w:rPr>
          <w:rFonts w:hint="eastAsia" w:ascii="宋体" w:hAnsi="宋体" w:eastAsia="宋体" w:cs="宋体"/>
          <w:color w:val="000000"/>
          <w:sz w:val="21"/>
          <w:szCs w:val="21"/>
          <w:u w:val="single"/>
          <w:shd w:val="clear" w:fill="FFFFFF"/>
        </w:rPr>
        <w:t xml:space="preserve">  /  </w:t>
      </w:r>
      <w:r>
        <w:rPr>
          <w:rFonts w:hint="eastAsia" w:ascii="宋体" w:hAnsi="宋体" w:eastAsia="宋体" w:cs="宋体"/>
          <w:color w:val="000000"/>
          <w:sz w:val="21"/>
          <w:szCs w:val="21"/>
          <w:shd w:val="clear" w:fill="FFFFFF"/>
        </w:rPr>
        <w:t>的</w:t>
      </w:r>
      <w:r>
        <w:rPr>
          <w:rFonts w:hint="eastAsia" w:ascii="宋体" w:hAnsi="宋体" w:eastAsia="宋体" w:cs="宋体"/>
          <w:color w:val="000000"/>
          <w:sz w:val="21"/>
          <w:szCs w:val="21"/>
          <w:u w:val="single"/>
          <w:shd w:val="clear" w:fill="FFFFFF"/>
        </w:rPr>
        <w:t xml:space="preserve">  /  </w:t>
      </w:r>
      <w:r>
        <w:rPr>
          <w:rFonts w:hint="eastAsia" w:ascii="宋体" w:hAnsi="宋体" w:eastAsia="宋体" w:cs="宋体"/>
          <w:color w:val="000000"/>
          <w:sz w:val="21"/>
          <w:szCs w:val="21"/>
          <w:shd w:val="clear" w:fill="FFFFFF"/>
        </w:rPr>
        <w:t>在中国境内完成。</w:t>
      </w:r>
    </w:p>
    <w:p w14:paraId="6EE37AFF">
      <w:pPr>
        <w:pStyle w:val="4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30" w:beforeAutospacing="0" w:after="30" w:afterAutospacing="0" w:line="360" w:lineRule="auto"/>
        <w:ind w:left="0" w:firstLine="420"/>
      </w:pPr>
      <w:r>
        <w:rPr>
          <w:rFonts w:hint="eastAsia" w:ascii="宋体" w:hAnsi="宋体" w:eastAsia="宋体" w:cs="宋体"/>
          <w:color w:val="000000"/>
          <w:sz w:val="21"/>
          <w:szCs w:val="21"/>
          <w:shd w:val="clear" w:fill="FFFFFF"/>
        </w:rPr>
        <w:t>……</w:t>
      </w:r>
    </w:p>
    <w:p w14:paraId="0B6B923B">
      <w:pPr>
        <w:pStyle w:val="4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30" w:beforeAutospacing="0" w:after="30" w:afterAutospacing="0" w:line="360" w:lineRule="auto"/>
        <w:ind w:left="0" w:firstLine="420"/>
      </w:pPr>
      <w:r>
        <w:rPr>
          <w:rFonts w:hint="eastAsia" w:ascii="宋体" w:hAnsi="宋体" w:eastAsia="宋体" w:cs="宋体"/>
          <w:color w:val="000000"/>
          <w:sz w:val="21"/>
          <w:szCs w:val="21"/>
          <w:shd w:val="clear" w:fill="FFFFFF"/>
        </w:rPr>
        <w:t>本公司（单位）对上述声明内容的真实性负责。如有虚假，愿承担相应法律责任。</w:t>
      </w:r>
    </w:p>
    <w:p w14:paraId="2E2CF9E3">
      <w:pPr>
        <w:pStyle w:val="4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30" w:beforeAutospacing="0" w:after="30" w:afterAutospacing="0" w:line="0" w:lineRule="atLeast"/>
      </w:pPr>
      <w:r>
        <w:rPr>
          <w:shd w:val="clear" w:fill="FFFFFF"/>
        </w:rPr>
        <w:t> </w:t>
      </w:r>
    </w:p>
    <w:p w14:paraId="2566F5DE">
      <w:pPr>
        <w:pStyle w:val="4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30" w:beforeAutospacing="0" w:after="30" w:afterAutospacing="0" w:line="360" w:lineRule="auto"/>
        <w:jc w:val="right"/>
      </w:pPr>
      <w:r>
        <w:rPr>
          <w:rFonts w:hint="eastAsia" w:ascii="宋体" w:hAnsi="宋体" w:eastAsia="宋体" w:cs="宋体"/>
          <w:color w:val="000000"/>
          <w:sz w:val="21"/>
          <w:szCs w:val="21"/>
          <w:shd w:val="clear" w:fill="FFFFFF"/>
        </w:rPr>
        <w:t xml:space="preserve">   公司（单位）名称（加盖CA电子公章）：         </w:t>
      </w:r>
    </w:p>
    <w:p w14:paraId="31E6A933">
      <w:pPr>
        <w:pStyle w:val="4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30" w:beforeAutospacing="0" w:after="30" w:afterAutospacing="0" w:line="360" w:lineRule="auto"/>
        <w:jc w:val="center"/>
      </w:pPr>
      <w:r>
        <w:rPr>
          <w:rFonts w:hint="eastAsia" w:ascii="宋体" w:hAnsi="宋体" w:eastAsia="宋体" w:cs="宋体"/>
          <w:color w:val="000000"/>
          <w:sz w:val="21"/>
          <w:szCs w:val="21"/>
          <w:shd w:val="clear" w:fill="FFFFFF"/>
        </w:rPr>
        <w:t xml:space="preserve">           日期：      年   月   日         </w:t>
      </w:r>
    </w:p>
    <w:p w14:paraId="0129A7DA">
      <w:pPr>
        <w:pStyle w:val="4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30" w:beforeAutospacing="0" w:after="30" w:afterAutospacing="0" w:line="0" w:lineRule="atLeast"/>
      </w:pPr>
      <w:r>
        <w:rPr>
          <w:shd w:val="clear" w:fill="FFFFFF"/>
        </w:rPr>
        <w:t> </w:t>
      </w:r>
    </w:p>
    <w:p w14:paraId="5482AC78">
      <w:pPr>
        <w:pStyle w:val="4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30" w:beforeAutospacing="0" w:after="30" w:afterAutospacing="0" w:line="0" w:lineRule="atLeast"/>
      </w:pPr>
      <w:r>
        <w:rPr>
          <w:rFonts w:hint="eastAsia" w:ascii="宋体" w:hAnsi="宋体" w:eastAsia="宋体" w:cs="宋体"/>
          <w:color w:val="000000"/>
          <w:sz w:val="21"/>
          <w:szCs w:val="21"/>
          <w:shd w:val="clear" w:fill="FFFFFF"/>
        </w:rPr>
        <w:t>_________________</w:t>
      </w:r>
    </w:p>
    <w:p w14:paraId="4927014F">
      <w:pPr>
        <w:pStyle w:val="4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30" w:beforeAutospacing="0" w:after="30" w:afterAutospacing="0" w:line="360" w:lineRule="auto"/>
      </w:pPr>
      <w:r>
        <w:rPr>
          <w:rFonts w:hint="eastAsia" w:ascii="宋体" w:hAnsi="宋体" w:eastAsia="宋体" w:cs="宋体"/>
          <w:color w:val="000000"/>
          <w:sz w:val="21"/>
          <w:szCs w:val="21"/>
          <w:shd w:val="clear" w:fill="FFFFFF"/>
        </w:rPr>
        <w:t>1.产品如有型号，请在“产品名称”栏一并填写。</w:t>
      </w:r>
    </w:p>
    <w:p w14:paraId="4237674A">
      <w:pPr>
        <w:pStyle w:val="4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30" w:beforeAutospacing="0" w:after="30" w:afterAutospacing="0" w:line="360" w:lineRule="auto"/>
      </w:pPr>
      <w:r>
        <w:rPr>
          <w:rFonts w:hint="eastAsia" w:ascii="宋体" w:hAnsi="宋体" w:eastAsia="宋体" w:cs="宋体"/>
          <w:color w:val="000000"/>
          <w:sz w:val="21"/>
          <w:szCs w:val="21"/>
          <w:shd w:val="clear" w:fill="FFFFFF"/>
        </w:rPr>
        <w:t>2.生产厂名与厂址应与生产厂营业执照载明的相关信息保持一致。</w:t>
      </w:r>
    </w:p>
    <w:p w14:paraId="64AD5A60">
      <w:pPr>
        <w:pStyle w:val="4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30" w:beforeAutospacing="0" w:after="30" w:afterAutospacing="0" w:line="360" w:lineRule="auto"/>
      </w:pPr>
      <w:r>
        <w:rPr>
          <w:rFonts w:hint="eastAsia" w:ascii="宋体" w:hAnsi="宋体" w:eastAsia="宋体" w:cs="宋体"/>
          <w:color w:val="000000"/>
          <w:sz w:val="21"/>
          <w:szCs w:val="21"/>
          <w:shd w:val="clear" w:fill="FFFFFF"/>
        </w:rPr>
        <w:t>3.该产品的中国境内生产的组件成本占比相关要求实施前，“规定比例”栏可不填，下同。</w:t>
      </w:r>
    </w:p>
    <w:p w14:paraId="43A544F4">
      <w:pPr>
        <w:pStyle w:val="4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30" w:beforeAutospacing="0" w:after="30" w:afterAutospacing="0" w:line="360" w:lineRule="auto"/>
      </w:pPr>
      <w:r>
        <w:rPr>
          <w:rFonts w:hint="eastAsia" w:ascii="宋体" w:hAnsi="宋体" w:eastAsia="宋体" w:cs="宋体"/>
          <w:color w:val="000000"/>
          <w:sz w:val="21"/>
          <w:szCs w:val="21"/>
          <w:shd w:val="clear" w:fill="FFFFFF"/>
        </w:rPr>
        <w:t>4.该产品的关键组件要求实施前，“关键组件”栏可不填，下同。</w:t>
      </w:r>
    </w:p>
    <w:p w14:paraId="788E029A">
      <w:pPr>
        <w:pStyle w:val="4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30" w:beforeAutospacing="0" w:after="30" w:afterAutospacing="0" w:line="360" w:lineRule="auto"/>
      </w:pPr>
      <w:r>
        <w:rPr>
          <w:rFonts w:hint="eastAsia" w:ascii="宋体" w:hAnsi="宋体" w:eastAsia="宋体" w:cs="宋体"/>
          <w:color w:val="000000"/>
          <w:sz w:val="21"/>
          <w:szCs w:val="21"/>
          <w:shd w:val="clear" w:fill="FFFFFF"/>
        </w:rPr>
        <w:t>5.该产品的关键工序要求实施前，“关键工序”栏可不填，下同。</w:t>
      </w:r>
    </w:p>
    <w:p w14:paraId="3D9AFE3A">
      <w:pPr>
        <w:pStyle w:val="61"/>
        <w:spacing w:line="360" w:lineRule="auto"/>
        <w:ind w:firstLine="0" w:firstLineChars="0"/>
        <w:jc w:val="left"/>
        <w:rPr>
          <w:rFonts w:hint="eastAsia" w:ascii="宋体" w:hAnsi="宋体" w:cs="宋体"/>
          <w:b/>
        </w:rPr>
      </w:pPr>
      <w:r>
        <w:rPr>
          <w:rFonts w:hint="eastAsia" w:ascii="宋体" w:hAnsi="宋体" w:eastAsia="宋体" w:cs="宋体"/>
          <w:color w:val="000000"/>
          <w:sz w:val="21"/>
          <w:szCs w:val="21"/>
          <w:shd w:val="clear" w:fill="FFFFFF"/>
        </w:rPr>
        <w:t>6.《声明函》中标注“</w:t>
      </w:r>
      <w:r>
        <w:rPr>
          <w:rFonts w:hint="eastAsia" w:ascii="宋体" w:hAnsi="宋体" w:eastAsia="宋体" w:cs="宋体"/>
          <w:color w:val="000000"/>
          <w:sz w:val="21"/>
          <w:szCs w:val="21"/>
          <w:u w:val="single"/>
          <w:shd w:val="clear" w:fill="FFFFFF"/>
        </w:rPr>
        <w:t xml:space="preserve">  /  </w:t>
      </w:r>
      <w:r>
        <w:rPr>
          <w:rFonts w:hint="eastAsia" w:ascii="宋体" w:hAnsi="宋体" w:eastAsia="宋体" w:cs="宋体"/>
          <w:color w:val="000000"/>
          <w:sz w:val="21"/>
          <w:szCs w:val="21"/>
          <w:shd w:val="clear" w:fill="FFFFFF"/>
        </w:rPr>
        <w:t>”的地方无需填写。</w:t>
      </w:r>
    </w:p>
    <w:p w14:paraId="224593F3">
      <w:pPr>
        <w:pStyle w:val="2"/>
        <w:rPr>
          <w:rFonts w:hint="eastAsia"/>
        </w:rPr>
        <w:sectPr>
          <w:footerReference r:id="rId6" w:type="first"/>
          <w:footerReference r:id="rId5" w:type="default"/>
          <w:pgSz w:w="11906" w:h="16838"/>
          <w:pgMar w:top="1440" w:right="1274" w:bottom="1440" w:left="1600" w:header="851" w:footer="992" w:gutter="0"/>
          <w:cols w:space="720" w:num="1"/>
          <w:titlePg/>
          <w:docGrid w:type="lines" w:linePitch="312" w:charSpace="0"/>
        </w:sectPr>
      </w:pPr>
    </w:p>
    <w:p w14:paraId="7AA1DEE5">
      <w:pPr>
        <w:spacing w:line="360" w:lineRule="auto"/>
        <w:jc w:val="center"/>
        <w:rPr>
          <w:rFonts w:hint="eastAsia" w:ascii="宋体" w:hAnsi="宋体" w:cs="宋体"/>
          <w:b/>
          <w:bCs/>
          <w:sz w:val="28"/>
        </w:rPr>
      </w:pPr>
      <w:r>
        <w:rPr>
          <w:rFonts w:hint="eastAsia" w:ascii="宋体" w:hAnsi="宋体" w:cs="宋体"/>
          <w:b/>
          <w:bCs/>
          <w:sz w:val="28"/>
        </w:rPr>
        <w:t>残疾人福利性单位声明函</w:t>
      </w:r>
    </w:p>
    <w:bookmarkEnd w:id="23"/>
    <w:bookmarkEnd w:id="24"/>
    <w:p w14:paraId="24EA9166">
      <w:pPr>
        <w:widowControl/>
        <w:spacing w:line="440" w:lineRule="exact"/>
        <w:ind w:firstLine="420" w:firstLineChars="200"/>
        <w:jc w:val="left"/>
        <w:rPr>
          <w:rFonts w:hint="eastAsia" w:ascii="宋体" w:hAnsi="宋体" w:cs="宋体"/>
          <w:snapToGrid w:val="0"/>
          <w:kern w:val="0"/>
          <w:szCs w:val="21"/>
        </w:rPr>
      </w:pPr>
      <w:r>
        <w:rPr>
          <w:rFonts w:hint="eastAsia" w:ascii="宋体" w:hAnsi="宋体" w:cs="宋体"/>
          <w:snapToGrid w:val="0"/>
          <w:kern w:val="0"/>
          <w:szCs w:val="21"/>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A49CD84">
      <w:pPr>
        <w:widowControl/>
        <w:spacing w:line="440" w:lineRule="exact"/>
        <w:ind w:firstLine="420" w:firstLineChars="200"/>
        <w:jc w:val="left"/>
        <w:rPr>
          <w:rFonts w:hint="eastAsia" w:ascii="宋体" w:hAnsi="宋体" w:cs="宋体"/>
          <w:snapToGrid w:val="0"/>
          <w:kern w:val="0"/>
          <w:szCs w:val="21"/>
        </w:rPr>
      </w:pPr>
      <w:r>
        <w:rPr>
          <w:rFonts w:hint="eastAsia" w:ascii="宋体" w:hAnsi="宋体" w:cs="宋体"/>
          <w:snapToGrid w:val="0"/>
          <w:kern w:val="0"/>
          <w:szCs w:val="21"/>
        </w:rPr>
        <w:t>本单位对上述声明的真实性负责。如有虚假，将依法承担相应责任。</w:t>
      </w:r>
    </w:p>
    <w:p w14:paraId="3A953F09">
      <w:pPr>
        <w:widowControl/>
        <w:spacing w:line="440" w:lineRule="exact"/>
        <w:ind w:firstLine="5040" w:firstLineChars="2400"/>
        <w:jc w:val="left"/>
        <w:rPr>
          <w:rFonts w:hint="eastAsia" w:ascii="宋体" w:hAnsi="宋体" w:cs="宋体"/>
          <w:snapToGrid w:val="0"/>
          <w:kern w:val="0"/>
          <w:szCs w:val="21"/>
        </w:rPr>
      </w:pPr>
      <w:r>
        <w:rPr>
          <w:rFonts w:hint="eastAsia" w:ascii="宋体" w:hAnsi="宋体" w:cs="宋体"/>
          <w:snapToGrid w:val="0"/>
          <w:kern w:val="0"/>
          <w:szCs w:val="21"/>
        </w:rPr>
        <w:t>单位名称</w:t>
      </w:r>
      <w:r>
        <w:rPr>
          <w:rFonts w:hint="eastAsia" w:ascii="宋体" w:hAnsi="宋体" w:cs="宋体"/>
          <w:kern w:val="0"/>
          <w:szCs w:val="21"/>
        </w:rPr>
        <w:t>（加盖电子公章）</w:t>
      </w:r>
      <w:r>
        <w:rPr>
          <w:rFonts w:hint="eastAsia" w:ascii="宋体" w:hAnsi="宋体" w:cs="宋体"/>
          <w:snapToGrid w:val="0"/>
          <w:kern w:val="0"/>
          <w:szCs w:val="21"/>
        </w:rPr>
        <w:t>：</w:t>
      </w:r>
    </w:p>
    <w:p w14:paraId="4A99B1CD">
      <w:pPr>
        <w:widowControl/>
        <w:spacing w:line="440" w:lineRule="exact"/>
        <w:ind w:firstLine="5040" w:firstLineChars="2400"/>
        <w:jc w:val="left"/>
        <w:rPr>
          <w:rFonts w:hint="eastAsia" w:ascii="宋体" w:hAnsi="宋体" w:cs="宋体"/>
          <w:snapToGrid w:val="0"/>
          <w:kern w:val="0"/>
          <w:szCs w:val="21"/>
        </w:rPr>
      </w:pPr>
      <w:r>
        <w:rPr>
          <w:rFonts w:hint="eastAsia" w:ascii="宋体" w:hAnsi="宋体" w:cs="宋体"/>
          <w:snapToGrid w:val="0"/>
          <w:kern w:val="0"/>
          <w:szCs w:val="21"/>
        </w:rPr>
        <w:t>日  期：</w:t>
      </w:r>
    </w:p>
    <w:p w14:paraId="76891116">
      <w:pPr>
        <w:spacing w:line="360" w:lineRule="auto"/>
        <w:rPr>
          <w:rFonts w:hint="eastAsia" w:ascii="宋体" w:hAnsi="宋体" w:cs="宋体"/>
          <w:b/>
          <w:bCs/>
        </w:rPr>
      </w:pPr>
    </w:p>
    <w:p w14:paraId="73281E79">
      <w:pPr>
        <w:spacing w:line="360" w:lineRule="auto"/>
        <w:rPr>
          <w:rFonts w:hint="eastAsia" w:ascii="宋体" w:hAnsi="宋体" w:cs="宋体"/>
          <w:b/>
          <w:bCs/>
        </w:rPr>
      </w:pPr>
    </w:p>
    <w:p w14:paraId="61256585">
      <w:pPr>
        <w:spacing w:line="360" w:lineRule="auto"/>
        <w:jc w:val="center"/>
        <w:rPr>
          <w:rFonts w:hint="eastAsia" w:ascii="宋体" w:hAnsi="宋体" w:cs="宋体"/>
          <w:b/>
          <w:bCs/>
          <w:sz w:val="28"/>
        </w:rPr>
      </w:pPr>
      <w:r>
        <w:rPr>
          <w:rFonts w:hint="eastAsia" w:ascii="宋体" w:hAnsi="宋体" w:cs="宋体"/>
          <w:b/>
          <w:bCs/>
          <w:sz w:val="28"/>
        </w:rPr>
        <w:t>属于监狱企业的证明文件</w:t>
      </w:r>
    </w:p>
    <w:p w14:paraId="43CAD07E">
      <w:pPr>
        <w:spacing w:line="360" w:lineRule="auto"/>
        <w:rPr>
          <w:rFonts w:hint="eastAsia" w:ascii="宋体" w:hAnsi="宋体" w:cs="宋体"/>
        </w:rPr>
      </w:pPr>
      <w:r>
        <w:rPr>
          <w:rFonts w:hint="eastAsia" w:ascii="宋体" w:hAnsi="宋体" w:cs="宋体"/>
        </w:rPr>
        <w:t>（提供由省级以上监狱管理局、戒毒管理局（含新疆生产建设兵团）出具的属于监狱企业的证明文件）</w:t>
      </w:r>
    </w:p>
    <w:p w14:paraId="4F93A68B">
      <w:pPr>
        <w:spacing w:line="360" w:lineRule="auto"/>
        <w:rPr>
          <w:rFonts w:hint="eastAsia" w:ascii="宋体" w:hAnsi="宋体" w:cs="宋体"/>
          <w:b/>
          <w:bCs/>
        </w:rPr>
      </w:pPr>
    </w:p>
    <w:p w14:paraId="09DB5666">
      <w:pPr>
        <w:spacing w:line="360" w:lineRule="auto"/>
        <w:rPr>
          <w:rFonts w:hint="eastAsia" w:ascii="宋体" w:hAnsi="宋体" w:cs="宋体"/>
          <w:b/>
          <w:bCs/>
        </w:rPr>
      </w:pPr>
    </w:p>
    <w:p w14:paraId="17F7A0A1">
      <w:pPr>
        <w:spacing w:line="360" w:lineRule="auto"/>
        <w:jc w:val="center"/>
        <w:rPr>
          <w:rFonts w:hint="eastAsia" w:ascii="宋体" w:hAnsi="宋体" w:cs="宋体"/>
          <w:b/>
          <w:bCs/>
        </w:rPr>
      </w:pPr>
      <w:r>
        <w:rPr>
          <w:rFonts w:hint="eastAsia" w:ascii="宋体" w:hAnsi="宋体" w:cs="宋体"/>
          <w:b/>
          <w:bCs/>
          <w:sz w:val="28"/>
        </w:rPr>
        <w:t>节能产品认证证书</w:t>
      </w:r>
    </w:p>
    <w:p w14:paraId="2E108468">
      <w:pPr>
        <w:spacing w:line="360" w:lineRule="auto"/>
        <w:rPr>
          <w:rFonts w:hint="eastAsia" w:ascii="宋体" w:hAnsi="宋体" w:cs="宋体"/>
          <w:bCs/>
        </w:rPr>
      </w:pPr>
      <w:r>
        <w:rPr>
          <w:rFonts w:hint="eastAsia" w:ascii="宋体" w:hAnsi="宋体" w:cs="宋体"/>
          <w:bCs/>
        </w:rPr>
        <w:t>（提供国家确定的认证机构出具的、处于有效期之内的产品认证证书）</w:t>
      </w:r>
    </w:p>
    <w:p w14:paraId="3C7885C8">
      <w:pPr>
        <w:spacing w:line="360" w:lineRule="auto"/>
        <w:rPr>
          <w:rFonts w:hint="eastAsia" w:ascii="宋体" w:hAnsi="宋体" w:cs="宋体"/>
          <w:b/>
          <w:bCs/>
        </w:rPr>
      </w:pPr>
    </w:p>
    <w:p w14:paraId="215F0241">
      <w:pPr>
        <w:spacing w:line="360" w:lineRule="auto"/>
        <w:rPr>
          <w:rFonts w:hint="eastAsia" w:ascii="宋体" w:hAnsi="宋体" w:cs="宋体"/>
          <w:b/>
          <w:bCs/>
        </w:rPr>
      </w:pPr>
    </w:p>
    <w:p w14:paraId="4C847F10">
      <w:pPr>
        <w:spacing w:line="360" w:lineRule="auto"/>
        <w:rPr>
          <w:rFonts w:hint="eastAsia" w:ascii="宋体" w:hAnsi="宋体" w:cs="宋体"/>
          <w:b/>
          <w:bCs/>
        </w:rPr>
      </w:pPr>
    </w:p>
    <w:p w14:paraId="336556B6">
      <w:pPr>
        <w:spacing w:line="360" w:lineRule="auto"/>
        <w:jc w:val="center"/>
        <w:rPr>
          <w:rFonts w:hint="eastAsia" w:ascii="宋体" w:hAnsi="宋体" w:cs="宋体"/>
          <w:b/>
          <w:bCs/>
        </w:rPr>
      </w:pPr>
      <w:r>
        <w:rPr>
          <w:rFonts w:hint="eastAsia" w:ascii="宋体" w:hAnsi="宋体" w:cs="宋体"/>
          <w:b/>
          <w:bCs/>
          <w:sz w:val="28"/>
        </w:rPr>
        <w:t>环境标志产品认证证书</w:t>
      </w:r>
    </w:p>
    <w:p w14:paraId="18A6391D">
      <w:pPr>
        <w:spacing w:line="360" w:lineRule="auto"/>
        <w:rPr>
          <w:rFonts w:hint="eastAsia" w:ascii="宋体" w:hAnsi="宋体" w:cs="宋体"/>
          <w:bCs/>
        </w:rPr>
      </w:pPr>
      <w:r>
        <w:rPr>
          <w:rFonts w:hint="eastAsia" w:ascii="宋体" w:hAnsi="宋体" w:cs="宋体"/>
          <w:bCs/>
        </w:rPr>
        <w:t>（提供国家确定的认证机构出具的、处于有效期之内的产品认证证书）</w:t>
      </w:r>
    </w:p>
    <w:p w14:paraId="5C23A7A0">
      <w:pPr>
        <w:pStyle w:val="61"/>
        <w:rPr>
          <w:rFonts w:hint="eastAsia" w:ascii="宋体" w:hAnsi="宋体" w:cs="宋体"/>
          <w:bCs/>
        </w:rPr>
      </w:pPr>
    </w:p>
    <w:p w14:paraId="75CFFEE3">
      <w:pPr>
        <w:pStyle w:val="61"/>
        <w:rPr>
          <w:rFonts w:hint="eastAsia" w:ascii="宋体" w:hAnsi="宋体" w:cs="宋体"/>
          <w:bCs/>
        </w:rPr>
      </w:pPr>
    </w:p>
    <w:p w14:paraId="13626325">
      <w:pPr>
        <w:pStyle w:val="61"/>
        <w:rPr>
          <w:rFonts w:hint="eastAsia" w:ascii="宋体" w:hAnsi="宋体" w:cs="宋体"/>
          <w:bCs/>
        </w:rPr>
      </w:pPr>
    </w:p>
    <w:p w14:paraId="0851A34E">
      <w:pPr>
        <w:spacing w:line="360" w:lineRule="auto"/>
        <w:jc w:val="center"/>
        <w:rPr>
          <w:rFonts w:hint="eastAsia" w:ascii="宋体" w:hAnsi="宋体" w:cs="宋体"/>
          <w:b/>
          <w:bCs/>
          <w:sz w:val="28"/>
        </w:rPr>
      </w:pPr>
      <w:r>
        <w:rPr>
          <w:rFonts w:hint="eastAsia" w:ascii="宋体" w:hAnsi="宋体" w:cs="宋体"/>
          <w:b/>
          <w:bCs/>
          <w:sz w:val="28"/>
        </w:rPr>
        <w:t>进口产品转让技术、消化吸收再创新方案</w:t>
      </w:r>
    </w:p>
    <w:p w14:paraId="41E1B198">
      <w:pPr>
        <w:spacing w:line="360" w:lineRule="auto"/>
        <w:rPr>
          <w:rFonts w:hint="eastAsia" w:ascii="宋体" w:hAnsi="宋体" w:cs="宋体"/>
          <w:bCs/>
        </w:rPr>
      </w:pPr>
      <w:r>
        <w:rPr>
          <w:rFonts w:hint="eastAsia" w:ascii="宋体" w:hAnsi="宋体" w:cs="宋体"/>
          <w:bCs/>
        </w:rPr>
        <w:t>（对于允许进口产品参加的项目）</w:t>
      </w:r>
    </w:p>
    <w:p w14:paraId="76AF94B3">
      <w:pPr>
        <w:spacing w:line="360" w:lineRule="auto"/>
        <w:rPr>
          <w:rFonts w:hint="eastAsia" w:ascii="宋体" w:hAnsi="宋体" w:cs="宋体"/>
          <w:b/>
          <w:bCs/>
        </w:rPr>
      </w:pPr>
    </w:p>
    <w:p w14:paraId="453B5526">
      <w:pPr>
        <w:rPr>
          <w:rFonts w:hint="eastAsia" w:ascii="宋体" w:hAnsi="宋体" w:cs="宋体"/>
          <w:b/>
        </w:rPr>
      </w:pPr>
      <w:r>
        <w:rPr>
          <w:rFonts w:hint="eastAsia" w:ascii="宋体" w:hAnsi="宋体" w:cs="宋体"/>
          <w:b/>
        </w:rPr>
        <w:br w:type="page"/>
      </w:r>
    </w:p>
    <w:p w14:paraId="54F6C955">
      <w:pPr>
        <w:autoSpaceDE w:val="0"/>
        <w:autoSpaceDN w:val="0"/>
        <w:adjustRightInd w:val="0"/>
        <w:spacing w:line="360" w:lineRule="auto"/>
        <w:rPr>
          <w:rFonts w:hint="eastAsia" w:ascii="宋体" w:hAnsi="宋体" w:cs="宋体"/>
          <w:b/>
        </w:rPr>
      </w:pPr>
      <w:r>
        <w:rPr>
          <w:rFonts w:hint="eastAsia" w:ascii="宋体" w:hAnsi="宋体" w:cs="宋体"/>
          <w:b/>
        </w:rPr>
        <w:t>附件十一、无重大违法记录声明格式</w:t>
      </w:r>
    </w:p>
    <w:p w14:paraId="661159D3">
      <w:pPr>
        <w:spacing w:line="240" w:lineRule="atLeast"/>
        <w:jc w:val="center"/>
        <w:rPr>
          <w:rFonts w:hint="eastAsia" w:ascii="宋体" w:hAnsi="宋体" w:cs="宋体"/>
          <w:sz w:val="28"/>
          <w:szCs w:val="36"/>
        </w:rPr>
      </w:pPr>
    </w:p>
    <w:p w14:paraId="04F20908">
      <w:pPr>
        <w:spacing w:line="240" w:lineRule="atLeast"/>
        <w:jc w:val="center"/>
        <w:rPr>
          <w:rFonts w:hint="eastAsia" w:ascii="宋体" w:hAnsi="宋体" w:cs="宋体"/>
          <w:sz w:val="28"/>
          <w:szCs w:val="36"/>
        </w:rPr>
      </w:pPr>
      <w:bookmarkStart w:id="25" w:name="OLE_LINK16"/>
      <w:r>
        <w:rPr>
          <w:rFonts w:hint="eastAsia" w:ascii="宋体" w:hAnsi="宋体" w:cs="宋体"/>
          <w:sz w:val="28"/>
          <w:szCs w:val="36"/>
        </w:rPr>
        <w:t>无重大违法记录声明</w:t>
      </w:r>
    </w:p>
    <w:p w14:paraId="7700A5CA">
      <w:pPr>
        <w:spacing w:line="360" w:lineRule="auto"/>
        <w:rPr>
          <w:rFonts w:hint="eastAsia" w:ascii="宋体" w:hAnsi="宋体" w:cs="宋体"/>
          <w:szCs w:val="21"/>
        </w:rPr>
      </w:pPr>
    </w:p>
    <w:p w14:paraId="4EB5B009">
      <w:pPr>
        <w:spacing w:line="360" w:lineRule="auto"/>
        <w:rPr>
          <w:rFonts w:hint="eastAsia" w:ascii="宋体" w:hAnsi="宋体" w:cs="宋体"/>
          <w:szCs w:val="21"/>
        </w:rPr>
      </w:pPr>
      <w:r>
        <w:rPr>
          <w:rFonts w:hint="eastAsia" w:ascii="宋体" w:hAnsi="宋体" w:cs="宋体"/>
          <w:szCs w:val="21"/>
        </w:rPr>
        <w:t>江苏省设备成套股份有限公司：</w:t>
      </w:r>
    </w:p>
    <w:p w14:paraId="518F6914">
      <w:pPr>
        <w:spacing w:line="360" w:lineRule="auto"/>
        <w:rPr>
          <w:rFonts w:hint="eastAsia" w:ascii="宋体" w:hAnsi="宋体" w:cs="宋体"/>
        </w:rPr>
      </w:pPr>
    </w:p>
    <w:p w14:paraId="5B4D79E4">
      <w:pPr>
        <w:spacing w:line="360" w:lineRule="auto"/>
        <w:ind w:firstLine="336" w:firstLineChars="160"/>
        <w:rPr>
          <w:rFonts w:hint="eastAsia" w:ascii="宋体" w:hAnsi="宋体" w:cs="宋体"/>
        </w:rPr>
      </w:pPr>
      <w:r>
        <w:rPr>
          <w:rFonts w:hint="eastAsia" w:ascii="宋体" w:hAnsi="宋体" w:cs="宋体"/>
        </w:rPr>
        <w:t>我单位（供应商名称）郑重声明：</w:t>
      </w:r>
    </w:p>
    <w:p w14:paraId="06CB2287">
      <w:pPr>
        <w:widowControl/>
        <w:shd w:val="clear" w:color="auto" w:fill="FFFFFF"/>
        <w:spacing w:line="360" w:lineRule="auto"/>
        <w:ind w:firstLine="308" w:firstLineChars="147"/>
        <w:rPr>
          <w:rFonts w:hint="eastAsia" w:ascii="宋体" w:hAnsi="宋体" w:cs="宋体"/>
          <w:b/>
          <w:kern w:val="0"/>
          <w:szCs w:val="21"/>
        </w:rPr>
      </w:pPr>
      <w:r>
        <w:rPr>
          <w:rFonts w:hint="eastAsia" w:ascii="宋体" w:hAnsi="宋体" w:cs="宋体"/>
          <w:kern w:val="0"/>
          <w:szCs w:val="21"/>
        </w:rPr>
        <w:t>我单位</w:t>
      </w:r>
      <w:r>
        <w:rPr>
          <w:rFonts w:hint="eastAsia" w:ascii="宋体" w:hAnsi="宋体" w:cs="宋体"/>
        </w:rPr>
        <w:t>参加政府采购活动前3年内在经营活动中（</w:t>
      </w:r>
      <w:r>
        <w:rPr>
          <w:rFonts w:hint="eastAsia" w:ascii="宋体" w:hAnsi="宋体" w:cs="宋体"/>
          <w:b/>
          <w:i/>
          <w:u w:val="single"/>
        </w:rPr>
        <w:t>在下划线上如实填写：有或没有</w:t>
      </w:r>
      <w:r>
        <w:rPr>
          <w:rFonts w:hint="eastAsia" w:ascii="宋体" w:hAnsi="宋体" w:cs="宋体"/>
        </w:rPr>
        <w:t>）</w:t>
      </w:r>
      <w:r>
        <w:rPr>
          <w:rFonts w:hint="eastAsia" w:ascii="宋体" w:hAnsi="宋体" w:cs="宋体"/>
          <w:b/>
        </w:rPr>
        <w:t>重大违法记录</w:t>
      </w:r>
      <w:r>
        <w:rPr>
          <w:rFonts w:hint="eastAsia" w:ascii="宋体" w:hAnsi="宋体" w:cs="宋体"/>
          <w:b/>
          <w:kern w:val="0"/>
          <w:szCs w:val="21"/>
        </w:rPr>
        <w:t>，且不是失信被执行人、重大税收违法案件当事人名单、政府采购严重违法失信行为记录名单的供应商。</w:t>
      </w:r>
    </w:p>
    <w:p w14:paraId="46A0ADFF">
      <w:pPr>
        <w:spacing w:line="360" w:lineRule="auto"/>
        <w:ind w:firstLine="420" w:firstLineChars="200"/>
        <w:rPr>
          <w:rFonts w:hint="eastAsia" w:ascii="宋体" w:hAnsi="宋体" w:cs="宋体"/>
        </w:rPr>
      </w:pPr>
    </w:p>
    <w:p w14:paraId="7C84C9C4">
      <w:pPr>
        <w:spacing w:line="360" w:lineRule="auto"/>
        <w:ind w:firstLine="315" w:firstLineChars="150"/>
        <w:rPr>
          <w:rFonts w:hint="eastAsia" w:ascii="宋体" w:hAnsi="宋体" w:cs="宋体"/>
        </w:rPr>
      </w:pPr>
      <w:r>
        <w:rPr>
          <w:rFonts w:hint="eastAsia" w:ascii="宋体" w:hAnsi="宋体" w:cs="宋体"/>
        </w:rPr>
        <w:t>（说明：政府采购法第二十二条第一款第五项所称重大违法记录，是指供应商因违法经营受到刑事处罚或者责令停产停业、吊销许可证或者执照、较大数额罚款等行政处罚。）</w:t>
      </w:r>
    </w:p>
    <w:p w14:paraId="3969226A">
      <w:pPr>
        <w:spacing w:line="360" w:lineRule="auto"/>
        <w:rPr>
          <w:rFonts w:hint="eastAsia" w:ascii="宋体" w:hAnsi="宋体" w:cs="宋体"/>
        </w:rPr>
      </w:pPr>
    </w:p>
    <w:p w14:paraId="09B992C9">
      <w:pPr>
        <w:spacing w:line="360" w:lineRule="auto"/>
        <w:rPr>
          <w:rFonts w:hint="eastAsia" w:ascii="宋体" w:hAnsi="宋体" w:cs="宋体"/>
        </w:rPr>
      </w:pPr>
    </w:p>
    <w:p w14:paraId="1D466687">
      <w:pPr>
        <w:spacing w:line="360" w:lineRule="auto"/>
        <w:ind w:firstLine="5103" w:firstLineChars="2430"/>
        <w:rPr>
          <w:rFonts w:hint="eastAsia" w:ascii="宋体" w:hAnsi="宋体" w:cs="宋体"/>
        </w:rPr>
      </w:pPr>
      <w:r>
        <w:rPr>
          <w:rFonts w:hint="eastAsia" w:ascii="宋体" w:hAnsi="宋体" w:cs="宋体"/>
        </w:rPr>
        <w:t>声明人：（加盖电子公章）</w:t>
      </w:r>
    </w:p>
    <w:p w14:paraId="70EA67E8">
      <w:pPr>
        <w:autoSpaceDE w:val="0"/>
        <w:autoSpaceDN w:val="0"/>
        <w:adjustRightInd w:val="0"/>
        <w:spacing w:line="360" w:lineRule="auto"/>
        <w:ind w:firstLine="5040" w:firstLineChars="2400"/>
        <w:rPr>
          <w:rFonts w:hint="eastAsia" w:ascii="宋体" w:hAnsi="宋体" w:cs="宋体"/>
          <w:b/>
        </w:rPr>
      </w:pPr>
      <w:r>
        <w:rPr>
          <w:rFonts w:hint="eastAsia" w:ascii="宋体" w:hAnsi="宋体" w:cs="宋体"/>
          <w:szCs w:val="21"/>
          <w:lang w:val="zh-CN"/>
        </w:rPr>
        <w:t>日期：年月</w:t>
      </w:r>
      <w:bookmarkEnd w:id="25"/>
      <w:r>
        <w:rPr>
          <w:rFonts w:hint="eastAsia" w:ascii="宋体" w:hAnsi="宋体" w:cs="宋体"/>
          <w:b/>
          <w:szCs w:val="21"/>
          <w:lang w:val="zh-CN"/>
        </w:rPr>
        <w:br w:type="page"/>
      </w:r>
    </w:p>
    <w:p w14:paraId="3F4FBAD0">
      <w:pPr>
        <w:autoSpaceDE w:val="0"/>
        <w:autoSpaceDN w:val="0"/>
        <w:adjustRightInd w:val="0"/>
        <w:spacing w:line="360" w:lineRule="auto"/>
        <w:rPr>
          <w:rFonts w:hint="eastAsia" w:ascii="宋体" w:hAnsi="宋体" w:cs="宋体"/>
          <w:b/>
        </w:rPr>
      </w:pPr>
      <w:r>
        <w:rPr>
          <w:rFonts w:hint="eastAsia" w:ascii="宋体" w:hAnsi="宋体" w:cs="宋体"/>
          <w:b/>
        </w:rPr>
        <w:t>附件十二、资格资信证明文件</w:t>
      </w:r>
    </w:p>
    <w:p w14:paraId="25EBD1EF">
      <w:pPr>
        <w:autoSpaceDE w:val="0"/>
        <w:autoSpaceDN w:val="0"/>
        <w:adjustRightInd w:val="0"/>
        <w:spacing w:line="360" w:lineRule="auto"/>
        <w:rPr>
          <w:rFonts w:hint="eastAsia" w:ascii="宋体" w:hAnsi="宋体" w:cs="宋体"/>
          <w:b/>
        </w:rPr>
      </w:pPr>
    </w:p>
    <w:p w14:paraId="52D3BFF6">
      <w:pPr>
        <w:pStyle w:val="21"/>
        <w:ind w:left="1260"/>
      </w:pPr>
    </w:p>
    <w:p w14:paraId="0777F67E"/>
    <w:p w14:paraId="486FDBA2">
      <w:pPr>
        <w:pStyle w:val="21"/>
        <w:ind w:left="1260"/>
      </w:pPr>
    </w:p>
    <w:p w14:paraId="64275918"/>
    <w:p w14:paraId="48EAEAF9">
      <w:pPr>
        <w:autoSpaceDE w:val="0"/>
        <w:autoSpaceDN w:val="0"/>
        <w:adjustRightInd w:val="0"/>
        <w:spacing w:line="360" w:lineRule="auto"/>
        <w:rPr>
          <w:rFonts w:hint="eastAsia" w:ascii="宋体" w:hAnsi="宋体" w:cs="宋体"/>
          <w:b/>
        </w:rPr>
      </w:pPr>
      <w:r>
        <w:rPr>
          <w:rFonts w:hint="eastAsia" w:ascii="宋体" w:hAnsi="宋体" w:cs="宋体"/>
          <w:b/>
        </w:rPr>
        <w:t>附件十三、承诺书</w:t>
      </w:r>
    </w:p>
    <w:p w14:paraId="174A0C43">
      <w:pPr>
        <w:pStyle w:val="61"/>
        <w:ind w:firstLine="562"/>
        <w:jc w:val="center"/>
        <w:rPr>
          <w:b/>
          <w:bCs/>
          <w:sz w:val="28"/>
          <w:szCs w:val="28"/>
        </w:rPr>
      </w:pPr>
      <w:r>
        <w:rPr>
          <w:rFonts w:hint="eastAsia"/>
          <w:b/>
          <w:bCs/>
          <w:sz w:val="28"/>
          <w:szCs w:val="28"/>
        </w:rPr>
        <w:t>承诺书</w:t>
      </w:r>
    </w:p>
    <w:p w14:paraId="7498D8F2">
      <w:pPr>
        <w:pStyle w:val="61"/>
      </w:pPr>
    </w:p>
    <w:p w14:paraId="638C1318">
      <w:pPr>
        <w:spacing w:line="360" w:lineRule="auto"/>
        <w:rPr>
          <w:rFonts w:hint="eastAsia" w:ascii="宋体" w:hAnsi="宋体" w:cs="宋体"/>
          <w:szCs w:val="21"/>
        </w:rPr>
      </w:pPr>
      <w:r>
        <w:rPr>
          <w:rFonts w:hint="eastAsia" w:ascii="宋体" w:hAnsi="宋体" w:cs="宋体"/>
          <w:szCs w:val="21"/>
          <w:lang w:eastAsia="zh-CN"/>
        </w:rPr>
        <w:t>南京市浦口区市场监督管理局</w:t>
      </w:r>
      <w:r>
        <w:rPr>
          <w:rFonts w:hint="eastAsia" w:ascii="宋体" w:hAnsi="宋体" w:cs="宋体"/>
          <w:szCs w:val="21"/>
        </w:rPr>
        <w:t>、江苏省设备成套股份有限公司：</w:t>
      </w:r>
    </w:p>
    <w:p w14:paraId="07E8C282">
      <w:pPr>
        <w:spacing w:line="360" w:lineRule="auto"/>
        <w:ind w:firstLine="336" w:firstLineChars="160"/>
        <w:rPr>
          <w:rFonts w:hint="eastAsia" w:ascii="宋体" w:hAnsi="宋体" w:cs="宋体"/>
        </w:rPr>
      </w:pPr>
      <w:r>
        <w:rPr>
          <w:rFonts w:hint="eastAsia" w:ascii="宋体" w:hAnsi="宋体" w:cs="宋体"/>
        </w:rPr>
        <w:t>我单位（供应商名称）郑重承诺：</w:t>
      </w:r>
    </w:p>
    <w:p w14:paraId="6979589C">
      <w:pPr>
        <w:pStyle w:val="61"/>
      </w:pPr>
    </w:p>
    <w:p w14:paraId="6BCB3C76">
      <w:pPr>
        <w:spacing w:line="360" w:lineRule="auto"/>
        <w:ind w:firstLine="5943" w:firstLineChars="2830"/>
        <w:rPr>
          <w:rFonts w:hint="eastAsia" w:ascii="宋体" w:hAnsi="宋体" w:cs="宋体"/>
        </w:rPr>
      </w:pPr>
      <w:r>
        <w:rPr>
          <w:rFonts w:hint="eastAsia" w:ascii="宋体" w:hAnsi="宋体" w:cs="宋体"/>
        </w:rPr>
        <w:t>承诺人：（加盖电子公章）</w:t>
      </w:r>
    </w:p>
    <w:p w14:paraId="0ED835F6">
      <w:pPr>
        <w:autoSpaceDE w:val="0"/>
        <w:autoSpaceDN w:val="0"/>
        <w:adjustRightInd w:val="0"/>
        <w:spacing w:line="360" w:lineRule="auto"/>
        <w:jc w:val="right"/>
        <w:rPr>
          <w:rFonts w:hint="eastAsia" w:ascii="宋体" w:hAnsi="宋体" w:cs="宋体"/>
          <w:b/>
        </w:rPr>
      </w:pPr>
      <w:r>
        <w:rPr>
          <w:rFonts w:hint="eastAsia" w:ascii="宋体" w:hAnsi="宋体" w:cs="宋体"/>
          <w:szCs w:val="21"/>
          <w:lang w:val="zh-CN"/>
        </w:rPr>
        <w:t>日期：年月日</w:t>
      </w:r>
    </w:p>
    <w:p w14:paraId="5A1ED31C">
      <w:pPr>
        <w:widowControl/>
        <w:jc w:val="left"/>
        <w:rPr>
          <w:rFonts w:hint="eastAsia" w:ascii="宋体" w:hAnsi="宋体" w:cs="宋体"/>
          <w:b/>
        </w:rPr>
      </w:pPr>
      <w:r>
        <w:rPr>
          <w:rFonts w:hint="eastAsia" w:ascii="宋体" w:hAnsi="宋体" w:cs="宋体"/>
          <w:b/>
        </w:rPr>
        <w:br w:type="page"/>
      </w:r>
    </w:p>
    <w:p w14:paraId="47711DEF">
      <w:pPr>
        <w:pStyle w:val="61"/>
        <w:spacing w:line="360" w:lineRule="auto"/>
        <w:ind w:firstLine="0" w:firstLineChars="0"/>
        <w:jc w:val="left"/>
        <w:rPr>
          <w:rFonts w:hint="eastAsia" w:ascii="宋体" w:hAnsi="宋体" w:cs="宋体"/>
          <w:b/>
        </w:rPr>
      </w:pPr>
      <w:r>
        <w:rPr>
          <w:rFonts w:hint="eastAsia" w:ascii="宋体" w:hAnsi="宋体" w:cs="宋体"/>
          <w:b/>
        </w:rPr>
        <w:t>附件十四、《南京市政府采购供应商信用记录表暨信用承诺书》（网站在线打印签字并盖章）</w:t>
      </w:r>
    </w:p>
    <w:p w14:paraId="02BAA844">
      <w:pPr>
        <w:pStyle w:val="61"/>
        <w:spacing w:line="360" w:lineRule="auto"/>
        <w:ind w:firstLine="0" w:firstLineChars="0"/>
        <w:jc w:val="left"/>
        <w:rPr>
          <w:rFonts w:hint="eastAsia" w:ascii="宋体" w:hAnsi="宋体" w:cs="宋体"/>
          <w:b/>
        </w:rPr>
      </w:pPr>
    </w:p>
    <w:p w14:paraId="0B790B5E">
      <w:pPr>
        <w:pStyle w:val="61"/>
        <w:spacing w:line="360" w:lineRule="auto"/>
        <w:ind w:firstLine="0" w:firstLineChars="0"/>
        <w:jc w:val="left"/>
        <w:rPr>
          <w:rFonts w:hint="eastAsia" w:ascii="宋体" w:hAnsi="宋体" w:cs="宋体"/>
          <w:b/>
        </w:rPr>
      </w:pPr>
    </w:p>
    <w:p w14:paraId="19346030">
      <w:pPr>
        <w:pStyle w:val="61"/>
        <w:spacing w:line="360" w:lineRule="auto"/>
        <w:ind w:firstLine="0" w:firstLineChars="0"/>
        <w:jc w:val="left"/>
        <w:rPr>
          <w:rFonts w:hint="eastAsia" w:ascii="宋体" w:hAnsi="宋体" w:cs="宋体"/>
          <w:b/>
        </w:rPr>
      </w:pPr>
    </w:p>
    <w:p w14:paraId="20C549AF">
      <w:pPr>
        <w:pStyle w:val="61"/>
        <w:spacing w:line="360" w:lineRule="auto"/>
        <w:ind w:firstLine="0" w:firstLineChars="0"/>
        <w:jc w:val="left"/>
        <w:rPr>
          <w:rFonts w:hint="eastAsia" w:ascii="宋体" w:hAnsi="宋体" w:cs="宋体"/>
          <w:b/>
        </w:rPr>
      </w:pPr>
    </w:p>
    <w:p w14:paraId="5B79624E">
      <w:pPr>
        <w:pStyle w:val="61"/>
        <w:spacing w:line="360" w:lineRule="auto"/>
        <w:ind w:firstLine="0" w:firstLineChars="0"/>
        <w:jc w:val="left"/>
        <w:rPr>
          <w:rFonts w:hint="eastAsia" w:ascii="宋体" w:hAnsi="宋体" w:cs="宋体"/>
          <w:b/>
        </w:rPr>
      </w:pPr>
      <w:r>
        <w:rPr>
          <w:rFonts w:hint="eastAsia" w:ascii="宋体" w:hAnsi="宋体" w:cs="宋体"/>
          <w:b/>
        </w:rPr>
        <w:t>附件十五、</w:t>
      </w:r>
      <w:bookmarkStart w:id="26" w:name="OLE_LINK2"/>
      <w:r>
        <w:rPr>
          <w:rFonts w:hint="eastAsia" w:ascii="宋体" w:hAnsi="宋体" w:cs="宋体"/>
          <w:b/>
        </w:rPr>
        <w:t>投标人需要提供的其他材料</w:t>
      </w:r>
      <w:bookmarkEnd w:id="26"/>
    </w:p>
    <w:sectPr>
      <w:headerReference r:id="rId7" w:type="default"/>
      <w:footerReference r:id="rId8" w:type="default"/>
      <w:pgSz w:w="11906" w:h="16838"/>
      <w:pgMar w:top="1440" w:right="1797" w:bottom="1440" w:left="1599"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panose1 w:val="02010509060101010101"/>
    <w:charset w:val="86"/>
    <w:family w:val="modern"/>
    <w:pitch w:val="default"/>
    <w:sig w:usb0="00000001" w:usb1="080E0000" w:usb2="00000000" w:usb3="00000000" w:csb0="00040000" w:csb1="00000000"/>
  </w:font>
  <w:font w:name="Ari">
    <w:altName w:val="DejaVu Math TeX Gyre"/>
    <w:panose1 w:val="00000000000000000000"/>
    <w:charset w:val="00"/>
    <w:family w:val="decorative"/>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knle">
    <w:altName w:val="Times New Roman"/>
    <w:panose1 w:val="00000000000000000000"/>
    <w:charset w:val="00"/>
    <w:family w:val="roman"/>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ヒラギノ角ゴ Pro W3">
    <w:altName w:val="Yu Gothic"/>
    <w:panose1 w:val="00000000000000000000"/>
    <w:charset w:val="80"/>
    <w:family w:val="auto"/>
    <w:pitch w:val="default"/>
    <w:sig w:usb0="00000000" w:usb1="00000000" w:usb2="00000012" w:usb3="00000000" w:csb0="0002000D" w:csb1="00000000"/>
  </w:font>
  <w:font w:name="Yu Gothic">
    <w:panose1 w:val="020B0400000000000000"/>
    <w:charset w:val="80"/>
    <w:family w:val="auto"/>
    <w:pitch w:val="default"/>
    <w:sig w:usb0="E00002FF" w:usb1="2AC7FDFF" w:usb2="00000016" w:usb3="00000000" w:csb0="200200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5DA04">
    <w:pPr>
      <w:pStyle w:val="29"/>
      <w:tabs>
        <w:tab w:val="center" w:pos="4819"/>
        <w:tab w:val="clear" w:pos="4153"/>
      </w:tabs>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74EE7">
    <w:pPr>
      <w:pStyle w:val="29"/>
    </w:pPr>
    <w:r>
      <w:rPr>
        <w:rFonts w:hint="eastAsia"/>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E14D8">
    <w:pPr>
      <w:pStyle w:val="29"/>
      <w:jc w:val="center"/>
    </w:pPr>
    <w:r>
      <mc:AlternateContent>
        <mc:Choice Requires="wps">
          <w:drawing>
            <wp:anchor distT="0" distB="0" distL="114300" distR="114300" simplePos="0" relativeHeight="251659264" behindDoc="0" locked="0" layoutInCell="1" allowOverlap="1">
              <wp:simplePos x="0" y="0"/>
              <wp:positionH relativeFrom="margin">
                <wp:posOffset>2724150</wp:posOffset>
              </wp:positionH>
              <wp:positionV relativeFrom="paragraph">
                <wp:posOffset>635</wp:posOffset>
              </wp:positionV>
              <wp:extent cx="178435" cy="120650"/>
              <wp:effectExtent l="0" t="0" r="12065" b="12700"/>
              <wp:wrapNone/>
              <wp:docPr id="2" name="文本框 2"/>
              <wp:cNvGraphicFramePr/>
              <a:graphic xmlns:a="http://schemas.openxmlformats.org/drawingml/2006/main">
                <a:graphicData uri="http://schemas.microsoft.com/office/word/2010/wordprocessingShape">
                  <wps:wsp>
                    <wps:cNvSpPr txBox="1"/>
                    <wps:spPr>
                      <a:xfrm>
                        <a:off x="0" y="0"/>
                        <a:ext cx="178435" cy="1206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60C561">
                          <w:pPr>
                            <w:pStyle w:val="29"/>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14.5pt;margin-top:0.05pt;height:9.5pt;width:14.05pt;mso-position-horizontal-relative:margin;z-index:251659264;mso-width-relative:page;mso-height-relative:page;" filled="f" stroked="f" coordsize="21600,21600" o:gfxdata="UEsDBAoAAAAAAIdO4kAAAAAAAAAAAAAAAAAEAAAAZHJzL1BLAwQUAAAACACHTuJAh9WyKNUAAAAH&#10;AQAADwAAAGRycy9kb3ducmV2LnhtbE2PTU/DMAyG70j8h8hI3FjSacBWmu7Axw0YbCDBLW1CW9E4&#10;VeJ249/jneDmV4/1+nGxPvheTC6mLqCGbKZAOKyD7bDR8LZ7uFiCSGTQmj6g0/DjEqzL05PC5Dbs&#10;8dVNW2oEl2DKjYaWaMilTHXrvEmzMDhk9hWiN8QxNtJGs+dy38u5UlfSmw75QmsGd9u6+ns7eg39&#10;R4qPlaLP6a55opeNHN/vs2etz88ydQOC3IH+luGoz+pQslMVRrRJ9BoW8xX/QkcgGC8ur3moOK4y&#10;kGUh//uXv1BLAwQUAAAACACHTuJAZLpj/TACAABVBAAADgAAAGRycy9lMm9Eb2MueG1srVTBbhMx&#10;EL0j8Q+W72STlIYqyqYKjYKQKlopIM6O185asj3GdrIbPgD+gBMX7nxXvoOxN5tC4dADF2fWM/Nm&#10;3vNMZtet0WQvfFBgSzoaDCkRlkOl7LakH96vXlxREiKzFdNgRUkPItDr+fNns8ZNxRhq0JXwBEFs&#10;mDaupHWMbloUgdfCsDAAJyw6JXjDIn76bVF51iC60cV4OJwUDfjKeeAiBLxddk56QvRPAQQpFRdL&#10;4DsjbOxQvdAsIqVQKxfoPHcrpeDxTsogItElRaYxn1gE7U06i/mMTbeeuVrxUwvsKS084mSYslj0&#10;DLVkkZGdV39BGcU9BJBxwMEUHZGsCLIYDR9ps66ZE5kLSh3cWfTw/2D5u/29J6oq6ZgSyww++PHb&#10;1+P3n8cfX8g4ydO4MMWotcO42L6GFoemvw94mVi30pv0i3wI+lHcw1lc0UbCU9Krq5cXl5RwdI3G&#10;w8llFr94SHY+xDcCDElGST2+XZaU7W9DxEYwtA9JtSyslNb5/bQlTUknFwj5hwcztMXERKFrNVmx&#10;3bQnXhuoDkjLQzcXwfGVwuK3LMR75nEQkAmuSrzDQ2rAInCyKKnBf/7XfYrH90EvJQ0OVknDpx3z&#10;ghL91uLLpSnsDd8bm96wO3MDOKsjXELHs4kJPurelB7MR9ygRaqCLmY51ipp7M2b2I03biAXi0UO&#10;wllzLN7ateMJuhNpsYsgVVY2ydJpcVILpy0LftqMNM6/f+eoh3+D+S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H1bIo1QAAAAcBAAAPAAAAAAAAAAEAIAAAACIAAABkcnMvZG93bnJldi54bWxQSwEC&#10;FAAUAAAACACHTuJAZLpj/TACAABVBAAADgAAAAAAAAABACAAAAAkAQAAZHJzL2Uyb0RvYy54bWxQ&#10;SwUGAAAAAAYABgBZAQAAxgUAAAAA&#10;">
              <v:fill on="f" focussize="0,0"/>
              <v:stroke on="f" weight="0.5pt"/>
              <v:imagedata o:title=""/>
              <o:lock v:ext="edit" aspectratio="f"/>
              <v:textbox inset="0mm,0mm,0mm,0mm">
                <w:txbxContent>
                  <w:p w14:paraId="1860C561">
                    <w:pPr>
                      <w:pStyle w:val="29"/>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BD43F">
    <w:pPr>
      <w:pStyle w:val="2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585364">
                          <w:pPr>
                            <w:pStyle w:val="29"/>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B585364">
                    <w:pPr>
                      <w:pStyle w:val="29"/>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FD2B5">
    <w:pPr>
      <w:pStyle w:val="2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267910">
                          <w:pPr>
                            <w:pStyle w:val="29"/>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2C267910">
                    <w:pPr>
                      <w:pStyle w:val="29"/>
                    </w:pPr>
                    <w:r>
                      <w:fldChar w:fldCharType="begin"/>
                    </w:r>
                    <w:r>
                      <w:instrText xml:space="preserve"> PAGE  \* MERGEFORMAT </w:instrText>
                    </w:r>
                    <w:r>
                      <w:fldChar w:fldCharType="separate"/>
                    </w:r>
                    <w:r>
                      <w:t>49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0EE67">
    <w:pPr>
      <w:pStyle w:val="3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EDD3BB"/>
    <w:multiLevelType w:val="singleLevel"/>
    <w:tmpl w:val="BFEDD3BB"/>
    <w:lvl w:ilvl="0" w:tentative="0">
      <w:start w:val="1"/>
      <w:numFmt w:val="chineseCounting"/>
      <w:suff w:val="nothing"/>
      <w:lvlText w:val="%1、"/>
      <w:lvlJc w:val="left"/>
      <w:rPr>
        <w:rFonts w:hint="eastAsia"/>
      </w:rPr>
    </w:lvl>
  </w:abstractNum>
  <w:abstractNum w:abstractNumId="1">
    <w:nsid w:val="00000006"/>
    <w:multiLevelType w:val="multilevel"/>
    <w:tmpl w:val="00000006"/>
    <w:lvl w:ilvl="0" w:tentative="0">
      <w:start w:val="1"/>
      <w:numFmt w:val="chineseCountingThousand"/>
      <w:pStyle w:val="2"/>
      <w:suff w:val="nothing"/>
      <w:lvlText w:val="第%1章"/>
      <w:lvlJc w:val="left"/>
      <w:pPr>
        <w:ind w:left="3261" w:firstLine="0"/>
      </w:pPr>
    </w:lvl>
    <w:lvl w:ilvl="1" w:tentative="0">
      <w:start w:val="1"/>
      <w:numFmt w:val="none"/>
      <w:pStyle w:val="3"/>
      <w:suff w:val="nothing"/>
      <w:lvlText w:val=""/>
      <w:lvlJc w:val="left"/>
      <w:pPr>
        <w:ind w:left="0" w:firstLine="0"/>
      </w:pPr>
    </w:lvl>
    <w:lvl w:ilvl="2" w:tentative="0">
      <w:start w:val="1"/>
      <w:numFmt w:val="none"/>
      <w:pStyle w:val="4"/>
      <w:suff w:val="nothing"/>
      <w:lvlText w:val=""/>
      <w:lvlJc w:val="left"/>
      <w:pPr>
        <w:ind w:left="0" w:firstLine="0"/>
      </w:pPr>
    </w:lvl>
    <w:lvl w:ilvl="3" w:tentative="0">
      <w:start w:val="1"/>
      <w:numFmt w:val="none"/>
      <w:pStyle w:val="5"/>
      <w:suff w:val="nothing"/>
      <w:lvlText w:val=""/>
      <w:lvlJc w:val="left"/>
      <w:pPr>
        <w:ind w:left="0" w:firstLine="0"/>
      </w:pPr>
    </w:lvl>
    <w:lvl w:ilvl="4" w:tentative="0">
      <w:start w:val="1"/>
      <w:numFmt w:val="none"/>
      <w:pStyle w:val="6"/>
      <w:suff w:val="nothing"/>
      <w:lvlText w:val=""/>
      <w:lvlJc w:val="left"/>
      <w:pPr>
        <w:ind w:left="0" w:firstLine="0"/>
      </w:pPr>
    </w:lvl>
    <w:lvl w:ilvl="5" w:tentative="0">
      <w:start w:val="1"/>
      <w:numFmt w:val="none"/>
      <w:pStyle w:val="7"/>
      <w:suff w:val="nothing"/>
      <w:lvlText w:val=""/>
      <w:lvlJc w:val="left"/>
      <w:pPr>
        <w:ind w:left="0" w:firstLine="0"/>
      </w:pPr>
    </w:lvl>
    <w:lvl w:ilvl="6" w:tentative="0">
      <w:start w:val="1"/>
      <w:numFmt w:val="none"/>
      <w:pStyle w:val="8"/>
      <w:suff w:val="nothing"/>
      <w:lvlText w:val=""/>
      <w:lvlJc w:val="left"/>
      <w:pPr>
        <w:ind w:left="0" w:firstLine="0"/>
      </w:pPr>
    </w:lvl>
    <w:lvl w:ilvl="7" w:tentative="0">
      <w:start w:val="1"/>
      <w:numFmt w:val="none"/>
      <w:pStyle w:val="9"/>
      <w:suff w:val="nothing"/>
      <w:lvlText w:val=""/>
      <w:lvlJc w:val="left"/>
      <w:pPr>
        <w:ind w:left="0" w:firstLine="0"/>
      </w:pPr>
    </w:lvl>
    <w:lvl w:ilvl="8" w:tentative="0">
      <w:start w:val="1"/>
      <w:numFmt w:val="none"/>
      <w:pStyle w:val="10"/>
      <w:suff w:val="nothing"/>
      <w:lvlText w:val=""/>
      <w:lvlJc w:val="left"/>
      <w:pPr>
        <w:ind w:left="0" w:firstLine="0"/>
      </w:pPr>
    </w:lvl>
  </w:abstractNum>
  <w:abstractNum w:abstractNumId="2">
    <w:nsid w:val="085007CF"/>
    <w:multiLevelType w:val="multilevel"/>
    <w:tmpl w:val="085007CF"/>
    <w:lvl w:ilvl="0" w:tentative="0">
      <w:start w:val="1"/>
      <w:numFmt w:val="decimal"/>
      <w:lvlText w:val="%1."/>
      <w:lvlJc w:val="left"/>
      <w:pPr>
        <w:tabs>
          <w:tab w:val="left" w:pos="630"/>
        </w:tabs>
        <w:ind w:left="630" w:hanging="420"/>
      </w:pPr>
      <w:rPr>
        <w:rFonts w:cs="Times New Roman"/>
      </w:rPr>
    </w:lvl>
    <w:lvl w:ilvl="1" w:tentative="0">
      <w:start w:val="1"/>
      <w:numFmt w:val="decimal"/>
      <w:lvlText w:val="%2)"/>
      <w:lvlJc w:val="left"/>
      <w:pPr>
        <w:tabs>
          <w:tab w:val="left" w:pos="990"/>
        </w:tabs>
        <w:ind w:left="990" w:hanging="360"/>
      </w:pPr>
      <w:rPr>
        <w:color w:val="auto"/>
      </w:rPr>
    </w:lvl>
    <w:lvl w:ilvl="2" w:tentative="0">
      <w:start w:val="1"/>
      <w:numFmt w:val="lowerRoman"/>
      <w:lvlText w:val="%3."/>
      <w:lvlJc w:val="right"/>
      <w:pPr>
        <w:tabs>
          <w:tab w:val="left" w:pos="1470"/>
        </w:tabs>
        <w:ind w:left="1470" w:hanging="420"/>
      </w:pPr>
      <w:rPr>
        <w:rFonts w:cs="Times New Roman"/>
      </w:rPr>
    </w:lvl>
    <w:lvl w:ilvl="3" w:tentative="0">
      <w:start w:val="1"/>
      <w:numFmt w:val="decimal"/>
      <w:lvlText w:val="%4."/>
      <w:lvlJc w:val="left"/>
      <w:pPr>
        <w:tabs>
          <w:tab w:val="left" w:pos="1890"/>
        </w:tabs>
        <w:ind w:left="1890" w:hanging="420"/>
      </w:pPr>
      <w:rPr>
        <w:rFonts w:cs="Times New Roman"/>
      </w:rPr>
    </w:lvl>
    <w:lvl w:ilvl="4" w:tentative="0">
      <w:start w:val="1"/>
      <w:numFmt w:val="lowerLetter"/>
      <w:lvlText w:val="%5)"/>
      <w:lvlJc w:val="left"/>
      <w:pPr>
        <w:tabs>
          <w:tab w:val="left" w:pos="2310"/>
        </w:tabs>
        <w:ind w:left="2310" w:hanging="420"/>
      </w:pPr>
      <w:rPr>
        <w:rFonts w:cs="Times New Roman"/>
      </w:rPr>
    </w:lvl>
    <w:lvl w:ilvl="5" w:tentative="0">
      <w:start w:val="1"/>
      <w:numFmt w:val="lowerRoman"/>
      <w:lvlText w:val="%6."/>
      <w:lvlJc w:val="right"/>
      <w:pPr>
        <w:tabs>
          <w:tab w:val="left" w:pos="2730"/>
        </w:tabs>
        <w:ind w:left="2730" w:hanging="420"/>
      </w:pPr>
      <w:rPr>
        <w:rFonts w:cs="Times New Roman"/>
      </w:rPr>
    </w:lvl>
    <w:lvl w:ilvl="6" w:tentative="0">
      <w:start w:val="1"/>
      <w:numFmt w:val="decimal"/>
      <w:lvlText w:val="%7."/>
      <w:lvlJc w:val="left"/>
      <w:pPr>
        <w:tabs>
          <w:tab w:val="left" w:pos="3150"/>
        </w:tabs>
        <w:ind w:left="3150" w:hanging="420"/>
      </w:pPr>
      <w:rPr>
        <w:rFonts w:cs="Times New Roman"/>
      </w:rPr>
    </w:lvl>
    <w:lvl w:ilvl="7" w:tentative="0">
      <w:start w:val="1"/>
      <w:numFmt w:val="lowerLetter"/>
      <w:lvlText w:val="%8)"/>
      <w:lvlJc w:val="left"/>
      <w:pPr>
        <w:tabs>
          <w:tab w:val="left" w:pos="3570"/>
        </w:tabs>
        <w:ind w:left="3570" w:hanging="420"/>
      </w:pPr>
      <w:rPr>
        <w:rFonts w:cs="Times New Roman"/>
      </w:rPr>
    </w:lvl>
    <w:lvl w:ilvl="8" w:tentative="0">
      <w:start w:val="1"/>
      <w:numFmt w:val="lowerRoman"/>
      <w:lvlText w:val="%9."/>
      <w:lvlJc w:val="right"/>
      <w:pPr>
        <w:tabs>
          <w:tab w:val="left" w:pos="3990"/>
        </w:tabs>
        <w:ind w:left="3990" w:hanging="420"/>
      </w:pPr>
      <w:rPr>
        <w:rFonts w:cs="Times New Roman"/>
      </w:rPr>
    </w:lvl>
  </w:abstractNum>
  <w:abstractNum w:abstractNumId="3">
    <w:nsid w:val="130A2188"/>
    <w:multiLevelType w:val="multilevel"/>
    <w:tmpl w:val="130A2188"/>
    <w:lvl w:ilvl="0" w:tentative="0">
      <w:start w:val="1"/>
      <w:numFmt w:val="chineseCountingThousand"/>
      <w:pStyle w:val="155"/>
      <w:lvlText w:val="%1"/>
      <w:lvlJc w:val="left"/>
      <w:pPr>
        <w:ind w:left="425" w:hanging="425"/>
      </w:pPr>
      <w:rPr>
        <w:rFonts w:hint="eastAsia" w:ascii="Arial Unicode MS" w:hAnsi="Arial Unicode MS" w:eastAsia="微软雅黑"/>
        <w:b/>
        <w:i w:val="0"/>
        <w:lang w:val="en-US"/>
      </w:rPr>
    </w:lvl>
    <w:lvl w:ilvl="1" w:tentative="0">
      <w:start w:val="1"/>
      <w:numFmt w:val="decimal"/>
      <w:pStyle w:val="174"/>
      <w:isLgl/>
      <w:lvlText w:val="%1.%2"/>
      <w:lvlJc w:val="left"/>
      <w:pPr>
        <w:ind w:left="425" w:hanging="425"/>
      </w:pPr>
      <w:rPr>
        <w:rFonts w:hint="eastAsia" w:ascii="Arial Unicode MS" w:hAnsi="Arial Unicode MS" w:eastAsia="微软雅黑"/>
        <w:b/>
        <w:i w:val="0"/>
      </w:rPr>
    </w:lvl>
    <w:lvl w:ilvl="2" w:tentative="0">
      <w:start w:val="1"/>
      <w:numFmt w:val="decimal"/>
      <w:pStyle w:val="188"/>
      <w:isLgl/>
      <w:lvlText w:val="%1.%2.%3"/>
      <w:lvlJc w:val="left"/>
      <w:pPr>
        <w:ind w:left="425" w:hanging="425"/>
      </w:pPr>
      <w:rPr>
        <w:rFonts w:hint="eastAsia" w:ascii="Arial Unicode MS" w:hAnsi="Arial Unicode MS" w:eastAsia="微软雅黑"/>
        <w:b/>
        <w:i w:val="0"/>
      </w:rPr>
    </w:lvl>
    <w:lvl w:ilvl="3" w:tentative="0">
      <w:start w:val="1"/>
      <w:numFmt w:val="decimal"/>
      <w:isLgl/>
      <w:lvlText w:val="%1.%2.%3.%4"/>
      <w:lvlJc w:val="left"/>
      <w:pPr>
        <w:ind w:left="425" w:hanging="425"/>
      </w:pPr>
      <w:rPr>
        <w:rFonts w:hint="eastAsia" w:ascii="Arial Unicode MS" w:hAnsi="Arial Unicode MS" w:eastAsia="微软雅黑"/>
        <w:b/>
        <w:i w:val="0"/>
      </w:rPr>
    </w:lvl>
    <w:lvl w:ilvl="4" w:tentative="0">
      <w:start w:val="1"/>
      <w:numFmt w:val="decimal"/>
      <w:isLgl/>
      <w:lvlText w:val="%1.%2.%3.%4.%5"/>
      <w:lvlJc w:val="left"/>
      <w:pPr>
        <w:ind w:left="425" w:hanging="425"/>
      </w:pPr>
      <w:rPr>
        <w:rFonts w:hint="eastAsia" w:ascii="Arial Unicode MS" w:hAnsi="Arial Unicode MS" w:eastAsia="微软雅黑"/>
        <w:b/>
        <w:i w:val="0"/>
      </w:rPr>
    </w:lvl>
    <w:lvl w:ilvl="5" w:tentative="0">
      <w:start w:val="1"/>
      <w:numFmt w:val="none"/>
      <w:lvlText w:val="%1.%2.%3.%4.%5.%6"/>
      <w:lvlJc w:val="left"/>
      <w:pPr>
        <w:ind w:left="425" w:hanging="425"/>
      </w:pPr>
      <w:rPr>
        <w:rFonts w:hint="eastAsia"/>
      </w:rPr>
    </w:lvl>
    <w:lvl w:ilvl="6" w:tentative="0">
      <w:start w:val="1"/>
      <w:numFmt w:val="decimal"/>
      <w:lvlText w:val="%1.%2.%3.%4.%5.%6.%7"/>
      <w:lvlJc w:val="left"/>
      <w:pPr>
        <w:ind w:left="425" w:hanging="425"/>
      </w:pPr>
      <w:rPr>
        <w:rFonts w:hint="eastAsia"/>
      </w:rPr>
    </w:lvl>
    <w:lvl w:ilvl="7" w:tentative="0">
      <w:start w:val="1"/>
      <w:numFmt w:val="decimal"/>
      <w:lvlText w:val="%1.%2.%3.%4.%5.%6.%7.%8"/>
      <w:lvlJc w:val="left"/>
      <w:pPr>
        <w:ind w:left="425" w:hanging="425"/>
      </w:pPr>
      <w:rPr>
        <w:rFonts w:hint="eastAsia"/>
      </w:rPr>
    </w:lvl>
    <w:lvl w:ilvl="8" w:tentative="0">
      <w:start w:val="1"/>
      <w:numFmt w:val="decimal"/>
      <w:lvlText w:val="%1.%2.%3.%4.%5.%6.%7.%8.%9"/>
      <w:lvlJc w:val="left"/>
      <w:pPr>
        <w:ind w:left="425" w:hanging="425"/>
      </w:pPr>
      <w:rPr>
        <w:rFonts w:hint="eastAsia"/>
      </w:rPr>
    </w:lvl>
  </w:abstractNum>
  <w:abstractNum w:abstractNumId="4">
    <w:nsid w:val="14590CD4"/>
    <w:multiLevelType w:val="singleLevel"/>
    <w:tmpl w:val="14590CD4"/>
    <w:lvl w:ilvl="0" w:tentative="0">
      <w:start w:val="5"/>
      <w:numFmt w:val="chineseCounting"/>
      <w:suff w:val="space"/>
      <w:lvlText w:val="第%1章"/>
      <w:lvlJc w:val="left"/>
      <w:rPr>
        <w:rFonts w:hint="eastAsia"/>
      </w:rPr>
    </w:lvl>
  </w:abstractNum>
  <w:abstractNum w:abstractNumId="5">
    <w:nsid w:val="2ABDED2F"/>
    <w:multiLevelType w:val="singleLevel"/>
    <w:tmpl w:val="2ABDED2F"/>
    <w:lvl w:ilvl="0" w:tentative="0">
      <w:start w:val="2"/>
      <w:numFmt w:val="chineseCounting"/>
      <w:suff w:val="nothing"/>
      <w:lvlText w:val="%1、"/>
      <w:lvlJc w:val="left"/>
      <w:rPr>
        <w:rFonts w:hint="eastAsia"/>
      </w:rPr>
    </w:lvl>
  </w:abstractNum>
  <w:abstractNum w:abstractNumId="6">
    <w:nsid w:val="5915610C"/>
    <w:multiLevelType w:val="singleLevel"/>
    <w:tmpl w:val="5915610C"/>
    <w:lvl w:ilvl="0" w:tentative="0">
      <w:start w:val="1"/>
      <w:numFmt w:val="decimal"/>
      <w:suff w:val="nothing"/>
      <w:lvlText w:val="%1、"/>
      <w:lvlJc w:val="left"/>
    </w:lvl>
  </w:abstractNum>
  <w:abstractNum w:abstractNumId="7">
    <w:nsid w:val="59ADCABA"/>
    <w:multiLevelType w:val="multilevel"/>
    <w:tmpl w:val="59ADCABA"/>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45"/>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8">
    <w:nsid w:val="64B0665D"/>
    <w:multiLevelType w:val="singleLevel"/>
    <w:tmpl w:val="64B0665D"/>
    <w:lvl w:ilvl="0" w:tentative="0">
      <w:start w:val="7"/>
      <w:numFmt w:val="decimal"/>
      <w:suff w:val="nothing"/>
      <w:lvlText w:val="%1、"/>
      <w:lvlJc w:val="left"/>
    </w:lvl>
  </w:abstractNum>
  <w:num w:numId="1">
    <w:abstractNumId w:val="1"/>
  </w:num>
  <w:num w:numId="2">
    <w:abstractNumId w:val="3"/>
  </w:num>
  <w:num w:numId="3">
    <w:abstractNumId w:val="7"/>
  </w:num>
  <w:num w:numId="4">
    <w:abstractNumId w:val="0"/>
  </w:num>
  <w:num w:numId="5">
    <w:abstractNumId w:val="8"/>
  </w:num>
  <w:num w:numId="6">
    <w:abstractNumId w:val="2"/>
  </w:num>
  <w:num w:numId="7">
    <w:abstractNumId w:val="5"/>
  </w:num>
  <w:num w:numId="8">
    <w:abstractNumId w:val="4"/>
  </w:num>
  <w:num w:numId="9">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三胖子他娘">
    <w15:presenceInfo w15:providerId="WPS Office" w15:userId="36274279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EwMTY0NjQ3YjdmODkzYmM4NzYwODMyMmVjN2U5YmMifQ=="/>
  </w:docVars>
  <w:rsids>
    <w:rsidRoot w:val="00172A27"/>
    <w:rsid w:val="000012DD"/>
    <w:rsid w:val="00001B79"/>
    <w:rsid w:val="000033BC"/>
    <w:rsid w:val="000037BA"/>
    <w:rsid w:val="00003E09"/>
    <w:rsid w:val="00004ADD"/>
    <w:rsid w:val="00010961"/>
    <w:rsid w:val="00013EE1"/>
    <w:rsid w:val="000144FE"/>
    <w:rsid w:val="00016168"/>
    <w:rsid w:val="000207B3"/>
    <w:rsid w:val="00020AA1"/>
    <w:rsid w:val="00020F19"/>
    <w:rsid w:val="000240F2"/>
    <w:rsid w:val="00024385"/>
    <w:rsid w:val="0002464E"/>
    <w:rsid w:val="00024AB3"/>
    <w:rsid w:val="0002530D"/>
    <w:rsid w:val="00025BBC"/>
    <w:rsid w:val="00026D12"/>
    <w:rsid w:val="00031EC9"/>
    <w:rsid w:val="00032595"/>
    <w:rsid w:val="00032B4A"/>
    <w:rsid w:val="00032EB2"/>
    <w:rsid w:val="00033F13"/>
    <w:rsid w:val="00034C6C"/>
    <w:rsid w:val="00035A5A"/>
    <w:rsid w:val="000373CB"/>
    <w:rsid w:val="00037558"/>
    <w:rsid w:val="0004062C"/>
    <w:rsid w:val="0004094A"/>
    <w:rsid w:val="000427E1"/>
    <w:rsid w:val="00042948"/>
    <w:rsid w:val="00043A61"/>
    <w:rsid w:val="00044757"/>
    <w:rsid w:val="00044959"/>
    <w:rsid w:val="00044D8D"/>
    <w:rsid w:val="00044FB9"/>
    <w:rsid w:val="000458DD"/>
    <w:rsid w:val="00045B12"/>
    <w:rsid w:val="000460E7"/>
    <w:rsid w:val="0004655A"/>
    <w:rsid w:val="000473B7"/>
    <w:rsid w:val="00047F5E"/>
    <w:rsid w:val="00051706"/>
    <w:rsid w:val="00051ABD"/>
    <w:rsid w:val="00051BCC"/>
    <w:rsid w:val="00051C2B"/>
    <w:rsid w:val="00051EB2"/>
    <w:rsid w:val="000527C8"/>
    <w:rsid w:val="0005443E"/>
    <w:rsid w:val="000547D0"/>
    <w:rsid w:val="00054F7D"/>
    <w:rsid w:val="00056485"/>
    <w:rsid w:val="00056572"/>
    <w:rsid w:val="00056E6B"/>
    <w:rsid w:val="0006006F"/>
    <w:rsid w:val="0006038F"/>
    <w:rsid w:val="00060B89"/>
    <w:rsid w:val="0006160D"/>
    <w:rsid w:val="00061A29"/>
    <w:rsid w:val="00062472"/>
    <w:rsid w:val="000632AD"/>
    <w:rsid w:val="0006335E"/>
    <w:rsid w:val="00063394"/>
    <w:rsid w:val="00063B66"/>
    <w:rsid w:val="000640E2"/>
    <w:rsid w:val="0006476D"/>
    <w:rsid w:val="00064BCC"/>
    <w:rsid w:val="000651BF"/>
    <w:rsid w:val="00067D84"/>
    <w:rsid w:val="00071CBC"/>
    <w:rsid w:val="00072185"/>
    <w:rsid w:val="00073FAE"/>
    <w:rsid w:val="00081250"/>
    <w:rsid w:val="000845CD"/>
    <w:rsid w:val="000851FF"/>
    <w:rsid w:val="0008631F"/>
    <w:rsid w:val="00086705"/>
    <w:rsid w:val="00087396"/>
    <w:rsid w:val="00090878"/>
    <w:rsid w:val="00090FE4"/>
    <w:rsid w:val="000963C4"/>
    <w:rsid w:val="00096BB7"/>
    <w:rsid w:val="00097207"/>
    <w:rsid w:val="00097293"/>
    <w:rsid w:val="00097411"/>
    <w:rsid w:val="000978F6"/>
    <w:rsid w:val="00097C5F"/>
    <w:rsid w:val="000A3341"/>
    <w:rsid w:val="000A45A0"/>
    <w:rsid w:val="000A4741"/>
    <w:rsid w:val="000A573E"/>
    <w:rsid w:val="000A64DD"/>
    <w:rsid w:val="000A6F9A"/>
    <w:rsid w:val="000A7DA8"/>
    <w:rsid w:val="000B03B8"/>
    <w:rsid w:val="000B086C"/>
    <w:rsid w:val="000B21A6"/>
    <w:rsid w:val="000B4485"/>
    <w:rsid w:val="000B4AC4"/>
    <w:rsid w:val="000B55AB"/>
    <w:rsid w:val="000B6C7A"/>
    <w:rsid w:val="000B6FEE"/>
    <w:rsid w:val="000C000B"/>
    <w:rsid w:val="000C010C"/>
    <w:rsid w:val="000C0834"/>
    <w:rsid w:val="000C3195"/>
    <w:rsid w:val="000C3C47"/>
    <w:rsid w:val="000C5551"/>
    <w:rsid w:val="000D18A2"/>
    <w:rsid w:val="000D350A"/>
    <w:rsid w:val="000D4685"/>
    <w:rsid w:val="000D4CDD"/>
    <w:rsid w:val="000D6263"/>
    <w:rsid w:val="000D632A"/>
    <w:rsid w:val="000D7DFA"/>
    <w:rsid w:val="000E0528"/>
    <w:rsid w:val="000E513A"/>
    <w:rsid w:val="000E5792"/>
    <w:rsid w:val="000E595A"/>
    <w:rsid w:val="000E6BE6"/>
    <w:rsid w:val="000E70D0"/>
    <w:rsid w:val="000E72E0"/>
    <w:rsid w:val="000E7AEC"/>
    <w:rsid w:val="000F353A"/>
    <w:rsid w:val="000F3911"/>
    <w:rsid w:val="000F4BB6"/>
    <w:rsid w:val="000F5350"/>
    <w:rsid w:val="000F5460"/>
    <w:rsid w:val="000F566F"/>
    <w:rsid w:val="000F64B8"/>
    <w:rsid w:val="00100C2D"/>
    <w:rsid w:val="00102973"/>
    <w:rsid w:val="001043EE"/>
    <w:rsid w:val="00104FBB"/>
    <w:rsid w:val="001050E5"/>
    <w:rsid w:val="00105965"/>
    <w:rsid w:val="001065A6"/>
    <w:rsid w:val="00106DF5"/>
    <w:rsid w:val="00107AD2"/>
    <w:rsid w:val="001152DD"/>
    <w:rsid w:val="00115C20"/>
    <w:rsid w:val="0011699D"/>
    <w:rsid w:val="00116AB7"/>
    <w:rsid w:val="00121249"/>
    <w:rsid w:val="00123A13"/>
    <w:rsid w:val="00124DDA"/>
    <w:rsid w:val="00125FE2"/>
    <w:rsid w:val="00126254"/>
    <w:rsid w:val="0013061E"/>
    <w:rsid w:val="00130C01"/>
    <w:rsid w:val="001315EC"/>
    <w:rsid w:val="00132750"/>
    <w:rsid w:val="00132D0F"/>
    <w:rsid w:val="00133C84"/>
    <w:rsid w:val="0013431C"/>
    <w:rsid w:val="00135325"/>
    <w:rsid w:val="00137F26"/>
    <w:rsid w:val="0014045A"/>
    <w:rsid w:val="0014108C"/>
    <w:rsid w:val="00142258"/>
    <w:rsid w:val="001441C5"/>
    <w:rsid w:val="00145B6B"/>
    <w:rsid w:val="00145CD4"/>
    <w:rsid w:val="00147B69"/>
    <w:rsid w:val="00150D69"/>
    <w:rsid w:val="00153691"/>
    <w:rsid w:val="001538BB"/>
    <w:rsid w:val="0015514F"/>
    <w:rsid w:val="0015684F"/>
    <w:rsid w:val="00156B27"/>
    <w:rsid w:val="00156C22"/>
    <w:rsid w:val="00156DBE"/>
    <w:rsid w:val="00157602"/>
    <w:rsid w:val="00161D46"/>
    <w:rsid w:val="001620DA"/>
    <w:rsid w:val="001638FC"/>
    <w:rsid w:val="00163D70"/>
    <w:rsid w:val="00165899"/>
    <w:rsid w:val="001661C4"/>
    <w:rsid w:val="001709AF"/>
    <w:rsid w:val="00172312"/>
    <w:rsid w:val="00172A27"/>
    <w:rsid w:val="00172BB0"/>
    <w:rsid w:val="00173F2B"/>
    <w:rsid w:val="00175182"/>
    <w:rsid w:val="00176ACB"/>
    <w:rsid w:val="0017756E"/>
    <w:rsid w:val="0018037C"/>
    <w:rsid w:val="00180512"/>
    <w:rsid w:val="001808D5"/>
    <w:rsid w:val="00181811"/>
    <w:rsid w:val="00184409"/>
    <w:rsid w:val="0018647C"/>
    <w:rsid w:val="00190367"/>
    <w:rsid w:val="00190B4C"/>
    <w:rsid w:val="0019168F"/>
    <w:rsid w:val="001920E2"/>
    <w:rsid w:val="00193455"/>
    <w:rsid w:val="00197E0F"/>
    <w:rsid w:val="001A0417"/>
    <w:rsid w:val="001A38B9"/>
    <w:rsid w:val="001A38FF"/>
    <w:rsid w:val="001A72E5"/>
    <w:rsid w:val="001A7DAF"/>
    <w:rsid w:val="001B0329"/>
    <w:rsid w:val="001B46F2"/>
    <w:rsid w:val="001B4A81"/>
    <w:rsid w:val="001B689B"/>
    <w:rsid w:val="001B77CB"/>
    <w:rsid w:val="001B7C72"/>
    <w:rsid w:val="001C08A3"/>
    <w:rsid w:val="001C158D"/>
    <w:rsid w:val="001C226C"/>
    <w:rsid w:val="001C23AF"/>
    <w:rsid w:val="001C29EE"/>
    <w:rsid w:val="001C34CC"/>
    <w:rsid w:val="001C6513"/>
    <w:rsid w:val="001C66D0"/>
    <w:rsid w:val="001C6D1C"/>
    <w:rsid w:val="001D0268"/>
    <w:rsid w:val="001D031C"/>
    <w:rsid w:val="001D0EB2"/>
    <w:rsid w:val="001D3678"/>
    <w:rsid w:val="001D4C43"/>
    <w:rsid w:val="001D56B2"/>
    <w:rsid w:val="001D77B7"/>
    <w:rsid w:val="001E059F"/>
    <w:rsid w:val="001E1864"/>
    <w:rsid w:val="001E4541"/>
    <w:rsid w:val="001E4EF8"/>
    <w:rsid w:val="001E566C"/>
    <w:rsid w:val="001E6506"/>
    <w:rsid w:val="001E6577"/>
    <w:rsid w:val="001E6BAD"/>
    <w:rsid w:val="001E72B7"/>
    <w:rsid w:val="001F2C9F"/>
    <w:rsid w:val="001F2EB7"/>
    <w:rsid w:val="001F2F97"/>
    <w:rsid w:val="001F3E1F"/>
    <w:rsid w:val="001F3EF6"/>
    <w:rsid w:val="001F400C"/>
    <w:rsid w:val="001F52B2"/>
    <w:rsid w:val="00201A58"/>
    <w:rsid w:val="00201CD1"/>
    <w:rsid w:val="00201D97"/>
    <w:rsid w:val="00202386"/>
    <w:rsid w:val="002035A8"/>
    <w:rsid w:val="00203D38"/>
    <w:rsid w:val="00205638"/>
    <w:rsid w:val="00206E55"/>
    <w:rsid w:val="00207739"/>
    <w:rsid w:val="002079EB"/>
    <w:rsid w:val="00210C2B"/>
    <w:rsid w:val="00213F8B"/>
    <w:rsid w:val="00214265"/>
    <w:rsid w:val="00214634"/>
    <w:rsid w:val="00215B16"/>
    <w:rsid w:val="00216916"/>
    <w:rsid w:val="00216DE7"/>
    <w:rsid w:val="002172AE"/>
    <w:rsid w:val="0021753F"/>
    <w:rsid w:val="002179DE"/>
    <w:rsid w:val="0022040A"/>
    <w:rsid w:val="002215ED"/>
    <w:rsid w:val="00224841"/>
    <w:rsid w:val="00226A2F"/>
    <w:rsid w:val="00227213"/>
    <w:rsid w:val="00227F51"/>
    <w:rsid w:val="002305DB"/>
    <w:rsid w:val="00232E1C"/>
    <w:rsid w:val="002332B9"/>
    <w:rsid w:val="0023566E"/>
    <w:rsid w:val="00235A36"/>
    <w:rsid w:val="00235E7E"/>
    <w:rsid w:val="002368B0"/>
    <w:rsid w:val="00236C9C"/>
    <w:rsid w:val="00236FC9"/>
    <w:rsid w:val="0023761F"/>
    <w:rsid w:val="0024036C"/>
    <w:rsid w:val="00240DD8"/>
    <w:rsid w:val="00241C7D"/>
    <w:rsid w:val="0024462B"/>
    <w:rsid w:val="00245C13"/>
    <w:rsid w:val="0025007B"/>
    <w:rsid w:val="0025013B"/>
    <w:rsid w:val="00250D12"/>
    <w:rsid w:val="00250EDD"/>
    <w:rsid w:val="00253197"/>
    <w:rsid w:val="00253819"/>
    <w:rsid w:val="00256BEB"/>
    <w:rsid w:val="002570EE"/>
    <w:rsid w:val="002604F0"/>
    <w:rsid w:val="00261BCF"/>
    <w:rsid w:val="00263349"/>
    <w:rsid w:val="002708AF"/>
    <w:rsid w:val="00273EDD"/>
    <w:rsid w:val="002740C3"/>
    <w:rsid w:val="0027735C"/>
    <w:rsid w:val="0027753E"/>
    <w:rsid w:val="002810AC"/>
    <w:rsid w:val="002812CC"/>
    <w:rsid w:val="00284692"/>
    <w:rsid w:val="002867C5"/>
    <w:rsid w:val="00291699"/>
    <w:rsid w:val="00293EC3"/>
    <w:rsid w:val="00293FC7"/>
    <w:rsid w:val="00295A7F"/>
    <w:rsid w:val="002A1103"/>
    <w:rsid w:val="002A1705"/>
    <w:rsid w:val="002A22EA"/>
    <w:rsid w:val="002A2964"/>
    <w:rsid w:val="002A2F7D"/>
    <w:rsid w:val="002A3AF4"/>
    <w:rsid w:val="002A5F7E"/>
    <w:rsid w:val="002A74F1"/>
    <w:rsid w:val="002A7B32"/>
    <w:rsid w:val="002B2041"/>
    <w:rsid w:val="002B29BA"/>
    <w:rsid w:val="002B4F07"/>
    <w:rsid w:val="002B55CA"/>
    <w:rsid w:val="002B7B7D"/>
    <w:rsid w:val="002C084A"/>
    <w:rsid w:val="002C24AF"/>
    <w:rsid w:val="002C4463"/>
    <w:rsid w:val="002C4A64"/>
    <w:rsid w:val="002C6711"/>
    <w:rsid w:val="002C6D74"/>
    <w:rsid w:val="002D0E60"/>
    <w:rsid w:val="002D2894"/>
    <w:rsid w:val="002D5638"/>
    <w:rsid w:val="002D59ED"/>
    <w:rsid w:val="002D607B"/>
    <w:rsid w:val="002D64CD"/>
    <w:rsid w:val="002D696C"/>
    <w:rsid w:val="002D703B"/>
    <w:rsid w:val="002D7BA2"/>
    <w:rsid w:val="002E0562"/>
    <w:rsid w:val="002E0FD5"/>
    <w:rsid w:val="002E11DD"/>
    <w:rsid w:val="002E1DAD"/>
    <w:rsid w:val="002E35B5"/>
    <w:rsid w:val="002E3BC8"/>
    <w:rsid w:val="002E585D"/>
    <w:rsid w:val="002E5CD7"/>
    <w:rsid w:val="002E67FB"/>
    <w:rsid w:val="002E6D7C"/>
    <w:rsid w:val="002F0AE1"/>
    <w:rsid w:val="002F0C61"/>
    <w:rsid w:val="002F0DF0"/>
    <w:rsid w:val="002F2DA7"/>
    <w:rsid w:val="002F3872"/>
    <w:rsid w:val="002F4462"/>
    <w:rsid w:val="002F5066"/>
    <w:rsid w:val="002F5D82"/>
    <w:rsid w:val="002F6084"/>
    <w:rsid w:val="002F61E6"/>
    <w:rsid w:val="0030085C"/>
    <w:rsid w:val="0030167A"/>
    <w:rsid w:val="00304E56"/>
    <w:rsid w:val="00304F1B"/>
    <w:rsid w:val="00306FBC"/>
    <w:rsid w:val="00310632"/>
    <w:rsid w:val="00311916"/>
    <w:rsid w:val="003120B1"/>
    <w:rsid w:val="003129FD"/>
    <w:rsid w:val="00312B26"/>
    <w:rsid w:val="00313484"/>
    <w:rsid w:val="00313AEF"/>
    <w:rsid w:val="00313BF3"/>
    <w:rsid w:val="00313C21"/>
    <w:rsid w:val="003141CA"/>
    <w:rsid w:val="003154A3"/>
    <w:rsid w:val="00315858"/>
    <w:rsid w:val="003203E5"/>
    <w:rsid w:val="00320912"/>
    <w:rsid w:val="00322C45"/>
    <w:rsid w:val="003246D4"/>
    <w:rsid w:val="0032536C"/>
    <w:rsid w:val="00326C8C"/>
    <w:rsid w:val="00327533"/>
    <w:rsid w:val="003309C5"/>
    <w:rsid w:val="0033139D"/>
    <w:rsid w:val="003335D3"/>
    <w:rsid w:val="00334124"/>
    <w:rsid w:val="0033600E"/>
    <w:rsid w:val="00340850"/>
    <w:rsid w:val="003408B3"/>
    <w:rsid w:val="00341869"/>
    <w:rsid w:val="0034418A"/>
    <w:rsid w:val="00344F6C"/>
    <w:rsid w:val="00345C58"/>
    <w:rsid w:val="00345DB5"/>
    <w:rsid w:val="00346E30"/>
    <w:rsid w:val="0034735E"/>
    <w:rsid w:val="00351AFA"/>
    <w:rsid w:val="003527FB"/>
    <w:rsid w:val="00352E13"/>
    <w:rsid w:val="00356157"/>
    <w:rsid w:val="003564AA"/>
    <w:rsid w:val="00357CF7"/>
    <w:rsid w:val="00357DF1"/>
    <w:rsid w:val="003600F4"/>
    <w:rsid w:val="00363602"/>
    <w:rsid w:val="003651BD"/>
    <w:rsid w:val="00365948"/>
    <w:rsid w:val="00367044"/>
    <w:rsid w:val="00367347"/>
    <w:rsid w:val="00367B81"/>
    <w:rsid w:val="00367EAA"/>
    <w:rsid w:val="0037007A"/>
    <w:rsid w:val="003717A0"/>
    <w:rsid w:val="00371CD6"/>
    <w:rsid w:val="00372366"/>
    <w:rsid w:val="00372537"/>
    <w:rsid w:val="00374628"/>
    <w:rsid w:val="003762DA"/>
    <w:rsid w:val="003767C0"/>
    <w:rsid w:val="00380910"/>
    <w:rsid w:val="00381242"/>
    <w:rsid w:val="00382C31"/>
    <w:rsid w:val="00386DEA"/>
    <w:rsid w:val="003870C7"/>
    <w:rsid w:val="0038766E"/>
    <w:rsid w:val="00387B4B"/>
    <w:rsid w:val="0039392C"/>
    <w:rsid w:val="00393EC0"/>
    <w:rsid w:val="0039547C"/>
    <w:rsid w:val="00395F32"/>
    <w:rsid w:val="003969C7"/>
    <w:rsid w:val="003972B6"/>
    <w:rsid w:val="003A12C6"/>
    <w:rsid w:val="003A1936"/>
    <w:rsid w:val="003A2501"/>
    <w:rsid w:val="003A2F14"/>
    <w:rsid w:val="003A3E1F"/>
    <w:rsid w:val="003A477C"/>
    <w:rsid w:val="003A565F"/>
    <w:rsid w:val="003A7C8B"/>
    <w:rsid w:val="003B1470"/>
    <w:rsid w:val="003B57AF"/>
    <w:rsid w:val="003B5E57"/>
    <w:rsid w:val="003B6BFB"/>
    <w:rsid w:val="003B6DB0"/>
    <w:rsid w:val="003C2F0C"/>
    <w:rsid w:val="003C4ABE"/>
    <w:rsid w:val="003C4FA2"/>
    <w:rsid w:val="003C5011"/>
    <w:rsid w:val="003C5B1B"/>
    <w:rsid w:val="003C5EAC"/>
    <w:rsid w:val="003C61E1"/>
    <w:rsid w:val="003C7777"/>
    <w:rsid w:val="003D11A8"/>
    <w:rsid w:val="003D1B04"/>
    <w:rsid w:val="003D2612"/>
    <w:rsid w:val="003D37B5"/>
    <w:rsid w:val="003D48CE"/>
    <w:rsid w:val="003D568E"/>
    <w:rsid w:val="003D78AF"/>
    <w:rsid w:val="003E1379"/>
    <w:rsid w:val="003E582E"/>
    <w:rsid w:val="003F0AE8"/>
    <w:rsid w:val="003F22CE"/>
    <w:rsid w:val="003F2F8E"/>
    <w:rsid w:val="003F2FB9"/>
    <w:rsid w:val="003F3268"/>
    <w:rsid w:val="003F374E"/>
    <w:rsid w:val="003F3D34"/>
    <w:rsid w:val="003F49F0"/>
    <w:rsid w:val="003F604B"/>
    <w:rsid w:val="003F785D"/>
    <w:rsid w:val="00400EF4"/>
    <w:rsid w:val="004013D9"/>
    <w:rsid w:val="00401780"/>
    <w:rsid w:val="00403DE1"/>
    <w:rsid w:val="00403E2E"/>
    <w:rsid w:val="0040420E"/>
    <w:rsid w:val="00404550"/>
    <w:rsid w:val="00405B33"/>
    <w:rsid w:val="00405D48"/>
    <w:rsid w:val="00407F04"/>
    <w:rsid w:val="004112F7"/>
    <w:rsid w:val="004119C7"/>
    <w:rsid w:val="00411E43"/>
    <w:rsid w:val="00412023"/>
    <w:rsid w:val="00413ADA"/>
    <w:rsid w:val="00413B7E"/>
    <w:rsid w:val="00413DA2"/>
    <w:rsid w:val="004144AC"/>
    <w:rsid w:val="00414CDD"/>
    <w:rsid w:val="0041547E"/>
    <w:rsid w:val="004157AF"/>
    <w:rsid w:val="00416CCA"/>
    <w:rsid w:val="004172B0"/>
    <w:rsid w:val="00420885"/>
    <w:rsid w:val="00420A4C"/>
    <w:rsid w:val="00421A18"/>
    <w:rsid w:val="00425260"/>
    <w:rsid w:val="004271E3"/>
    <w:rsid w:val="00427545"/>
    <w:rsid w:val="00431B6C"/>
    <w:rsid w:val="00432BCF"/>
    <w:rsid w:val="00434F67"/>
    <w:rsid w:val="00435AEC"/>
    <w:rsid w:val="004361EB"/>
    <w:rsid w:val="0043707B"/>
    <w:rsid w:val="00440CD0"/>
    <w:rsid w:val="004413BD"/>
    <w:rsid w:val="0044226E"/>
    <w:rsid w:val="00442E81"/>
    <w:rsid w:val="00443704"/>
    <w:rsid w:val="00447E6A"/>
    <w:rsid w:val="00450222"/>
    <w:rsid w:val="004506CC"/>
    <w:rsid w:val="00453FFF"/>
    <w:rsid w:val="0045464A"/>
    <w:rsid w:val="004550DE"/>
    <w:rsid w:val="0045557D"/>
    <w:rsid w:val="0045558F"/>
    <w:rsid w:val="00455F44"/>
    <w:rsid w:val="00457AF7"/>
    <w:rsid w:val="00460383"/>
    <w:rsid w:val="00461442"/>
    <w:rsid w:val="00461AD6"/>
    <w:rsid w:val="0046330A"/>
    <w:rsid w:val="00463ACA"/>
    <w:rsid w:val="00463CB4"/>
    <w:rsid w:val="004642FE"/>
    <w:rsid w:val="00464EFA"/>
    <w:rsid w:val="00466E45"/>
    <w:rsid w:val="004708E4"/>
    <w:rsid w:val="00470C69"/>
    <w:rsid w:val="004726C8"/>
    <w:rsid w:val="0047600F"/>
    <w:rsid w:val="00476AB1"/>
    <w:rsid w:val="00476ECA"/>
    <w:rsid w:val="00477202"/>
    <w:rsid w:val="00477B1A"/>
    <w:rsid w:val="004805DA"/>
    <w:rsid w:val="00483480"/>
    <w:rsid w:val="00484798"/>
    <w:rsid w:val="004860C3"/>
    <w:rsid w:val="00487826"/>
    <w:rsid w:val="00490308"/>
    <w:rsid w:val="004915AB"/>
    <w:rsid w:val="00492FA1"/>
    <w:rsid w:val="00497549"/>
    <w:rsid w:val="004A199F"/>
    <w:rsid w:val="004A24F0"/>
    <w:rsid w:val="004A2CB0"/>
    <w:rsid w:val="004A5E41"/>
    <w:rsid w:val="004B7D51"/>
    <w:rsid w:val="004C1E13"/>
    <w:rsid w:val="004C1E85"/>
    <w:rsid w:val="004C1F95"/>
    <w:rsid w:val="004C3D66"/>
    <w:rsid w:val="004C4DBA"/>
    <w:rsid w:val="004C594C"/>
    <w:rsid w:val="004C5EAB"/>
    <w:rsid w:val="004C6150"/>
    <w:rsid w:val="004C6A6C"/>
    <w:rsid w:val="004C6C8B"/>
    <w:rsid w:val="004C6F0B"/>
    <w:rsid w:val="004C6F22"/>
    <w:rsid w:val="004C7623"/>
    <w:rsid w:val="004D0287"/>
    <w:rsid w:val="004D07DF"/>
    <w:rsid w:val="004D4653"/>
    <w:rsid w:val="004D611F"/>
    <w:rsid w:val="004D7D51"/>
    <w:rsid w:val="004E392C"/>
    <w:rsid w:val="004E3F50"/>
    <w:rsid w:val="004E4AF3"/>
    <w:rsid w:val="004E4E01"/>
    <w:rsid w:val="004E58AB"/>
    <w:rsid w:val="004E6188"/>
    <w:rsid w:val="004E6DD2"/>
    <w:rsid w:val="004E6E76"/>
    <w:rsid w:val="004F0BBC"/>
    <w:rsid w:val="004F316C"/>
    <w:rsid w:val="004F4F24"/>
    <w:rsid w:val="004F5161"/>
    <w:rsid w:val="004F7128"/>
    <w:rsid w:val="005012F6"/>
    <w:rsid w:val="00501DC6"/>
    <w:rsid w:val="00502239"/>
    <w:rsid w:val="00502CFD"/>
    <w:rsid w:val="00502FF2"/>
    <w:rsid w:val="00506149"/>
    <w:rsid w:val="00507FE8"/>
    <w:rsid w:val="00511345"/>
    <w:rsid w:val="00511895"/>
    <w:rsid w:val="00512D9D"/>
    <w:rsid w:val="00512F5C"/>
    <w:rsid w:val="00513E68"/>
    <w:rsid w:val="0051418E"/>
    <w:rsid w:val="00515D0C"/>
    <w:rsid w:val="005167D0"/>
    <w:rsid w:val="00517586"/>
    <w:rsid w:val="00520554"/>
    <w:rsid w:val="00522024"/>
    <w:rsid w:val="0052251E"/>
    <w:rsid w:val="00525CC5"/>
    <w:rsid w:val="00526165"/>
    <w:rsid w:val="005278AA"/>
    <w:rsid w:val="0053012F"/>
    <w:rsid w:val="00530C19"/>
    <w:rsid w:val="00530D62"/>
    <w:rsid w:val="00530EA8"/>
    <w:rsid w:val="0053236E"/>
    <w:rsid w:val="005334EE"/>
    <w:rsid w:val="0053471D"/>
    <w:rsid w:val="00534E17"/>
    <w:rsid w:val="005358FA"/>
    <w:rsid w:val="00535C12"/>
    <w:rsid w:val="00542510"/>
    <w:rsid w:val="005430D6"/>
    <w:rsid w:val="00544833"/>
    <w:rsid w:val="0054652E"/>
    <w:rsid w:val="00546580"/>
    <w:rsid w:val="0054703C"/>
    <w:rsid w:val="00550D42"/>
    <w:rsid w:val="00550DC4"/>
    <w:rsid w:val="005514AF"/>
    <w:rsid w:val="00551B4A"/>
    <w:rsid w:val="00552394"/>
    <w:rsid w:val="005525C3"/>
    <w:rsid w:val="00552860"/>
    <w:rsid w:val="005529A4"/>
    <w:rsid w:val="00553115"/>
    <w:rsid w:val="005543B0"/>
    <w:rsid w:val="00554AFE"/>
    <w:rsid w:val="00555D65"/>
    <w:rsid w:val="00557436"/>
    <w:rsid w:val="005627DD"/>
    <w:rsid w:val="0056331D"/>
    <w:rsid w:val="0056374A"/>
    <w:rsid w:val="005639F5"/>
    <w:rsid w:val="00566375"/>
    <w:rsid w:val="00567F95"/>
    <w:rsid w:val="00571F59"/>
    <w:rsid w:val="00572476"/>
    <w:rsid w:val="00573B5F"/>
    <w:rsid w:val="00573C88"/>
    <w:rsid w:val="005759AF"/>
    <w:rsid w:val="0057679B"/>
    <w:rsid w:val="005770BB"/>
    <w:rsid w:val="00577886"/>
    <w:rsid w:val="005805E5"/>
    <w:rsid w:val="00580841"/>
    <w:rsid w:val="00580AB2"/>
    <w:rsid w:val="00582092"/>
    <w:rsid w:val="005847E1"/>
    <w:rsid w:val="005849C6"/>
    <w:rsid w:val="005852C9"/>
    <w:rsid w:val="00585A68"/>
    <w:rsid w:val="005868C9"/>
    <w:rsid w:val="00586A03"/>
    <w:rsid w:val="00586B6F"/>
    <w:rsid w:val="00586E84"/>
    <w:rsid w:val="005877F6"/>
    <w:rsid w:val="00592F71"/>
    <w:rsid w:val="00592FF1"/>
    <w:rsid w:val="005956EC"/>
    <w:rsid w:val="005A0878"/>
    <w:rsid w:val="005A0CDB"/>
    <w:rsid w:val="005A1246"/>
    <w:rsid w:val="005A1DB8"/>
    <w:rsid w:val="005A495B"/>
    <w:rsid w:val="005A56EA"/>
    <w:rsid w:val="005A61D7"/>
    <w:rsid w:val="005B0153"/>
    <w:rsid w:val="005B0417"/>
    <w:rsid w:val="005B7896"/>
    <w:rsid w:val="005C0FD4"/>
    <w:rsid w:val="005C1744"/>
    <w:rsid w:val="005C31E6"/>
    <w:rsid w:val="005C3479"/>
    <w:rsid w:val="005C4816"/>
    <w:rsid w:val="005C55B0"/>
    <w:rsid w:val="005C5854"/>
    <w:rsid w:val="005C5E8D"/>
    <w:rsid w:val="005D00AF"/>
    <w:rsid w:val="005D0641"/>
    <w:rsid w:val="005D1BB8"/>
    <w:rsid w:val="005D3E66"/>
    <w:rsid w:val="005D5118"/>
    <w:rsid w:val="005D5725"/>
    <w:rsid w:val="005D6B82"/>
    <w:rsid w:val="005D7D02"/>
    <w:rsid w:val="005E04C9"/>
    <w:rsid w:val="005E0A69"/>
    <w:rsid w:val="005E2B4F"/>
    <w:rsid w:val="005E38AC"/>
    <w:rsid w:val="005E3B58"/>
    <w:rsid w:val="005E3D1E"/>
    <w:rsid w:val="005E3F62"/>
    <w:rsid w:val="005E4232"/>
    <w:rsid w:val="005E5029"/>
    <w:rsid w:val="005E5068"/>
    <w:rsid w:val="005E58CC"/>
    <w:rsid w:val="005E6299"/>
    <w:rsid w:val="005E7B4F"/>
    <w:rsid w:val="005F18FA"/>
    <w:rsid w:val="005F1F7D"/>
    <w:rsid w:val="005F24F1"/>
    <w:rsid w:val="005F35E4"/>
    <w:rsid w:val="005F46BB"/>
    <w:rsid w:val="005F4C92"/>
    <w:rsid w:val="005F5E49"/>
    <w:rsid w:val="00600CEF"/>
    <w:rsid w:val="00601094"/>
    <w:rsid w:val="00601B4B"/>
    <w:rsid w:val="00603813"/>
    <w:rsid w:val="00606EDF"/>
    <w:rsid w:val="00611178"/>
    <w:rsid w:val="006122E1"/>
    <w:rsid w:val="006128AC"/>
    <w:rsid w:val="00613F4D"/>
    <w:rsid w:val="0061542D"/>
    <w:rsid w:val="0061567A"/>
    <w:rsid w:val="00616597"/>
    <w:rsid w:val="00620715"/>
    <w:rsid w:val="00620793"/>
    <w:rsid w:val="00624187"/>
    <w:rsid w:val="00624ACA"/>
    <w:rsid w:val="006252AF"/>
    <w:rsid w:val="00626255"/>
    <w:rsid w:val="0063000A"/>
    <w:rsid w:val="006304CC"/>
    <w:rsid w:val="00631AA1"/>
    <w:rsid w:val="00631DEC"/>
    <w:rsid w:val="0063400A"/>
    <w:rsid w:val="00634CC2"/>
    <w:rsid w:val="00635435"/>
    <w:rsid w:val="00636109"/>
    <w:rsid w:val="00637F2B"/>
    <w:rsid w:val="0064176B"/>
    <w:rsid w:val="00641807"/>
    <w:rsid w:val="00641BBC"/>
    <w:rsid w:val="006429BC"/>
    <w:rsid w:val="00643CBC"/>
    <w:rsid w:val="00644A48"/>
    <w:rsid w:val="00646FBB"/>
    <w:rsid w:val="00647581"/>
    <w:rsid w:val="006476CE"/>
    <w:rsid w:val="00650239"/>
    <w:rsid w:val="006503D3"/>
    <w:rsid w:val="006507C9"/>
    <w:rsid w:val="006526B7"/>
    <w:rsid w:val="00653C27"/>
    <w:rsid w:val="00654CF6"/>
    <w:rsid w:val="00654E23"/>
    <w:rsid w:val="00655583"/>
    <w:rsid w:val="0065579F"/>
    <w:rsid w:val="00656945"/>
    <w:rsid w:val="00657C9E"/>
    <w:rsid w:val="00657CDC"/>
    <w:rsid w:val="00660B5E"/>
    <w:rsid w:val="00661B54"/>
    <w:rsid w:val="00661BA3"/>
    <w:rsid w:val="0066223F"/>
    <w:rsid w:val="006623A6"/>
    <w:rsid w:val="00663C55"/>
    <w:rsid w:val="00666463"/>
    <w:rsid w:val="0066710A"/>
    <w:rsid w:val="006713B7"/>
    <w:rsid w:val="0067163A"/>
    <w:rsid w:val="00671DB3"/>
    <w:rsid w:val="00672D1A"/>
    <w:rsid w:val="0067354B"/>
    <w:rsid w:val="0067483E"/>
    <w:rsid w:val="006749D8"/>
    <w:rsid w:val="0067674F"/>
    <w:rsid w:val="00676AA0"/>
    <w:rsid w:val="00676B2B"/>
    <w:rsid w:val="006771E1"/>
    <w:rsid w:val="0067799C"/>
    <w:rsid w:val="00677F9B"/>
    <w:rsid w:val="006813A6"/>
    <w:rsid w:val="00681700"/>
    <w:rsid w:val="00681B56"/>
    <w:rsid w:val="00687E44"/>
    <w:rsid w:val="00691E8C"/>
    <w:rsid w:val="00692195"/>
    <w:rsid w:val="006926CE"/>
    <w:rsid w:val="0069348F"/>
    <w:rsid w:val="006935CB"/>
    <w:rsid w:val="00693870"/>
    <w:rsid w:val="0069514B"/>
    <w:rsid w:val="006971F8"/>
    <w:rsid w:val="00697D38"/>
    <w:rsid w:val="006A0450"/>
    <w:rsid w:val="006A0758"/>
    <w:rsid w:val="006A2D08"/>
    <w:rsid w:val="006A2FA2"/>
    <w:rsid w:val="006A4FBF"/>
    <w:rsid w:val="006A6A77"/>
    <w:rsid w:val="006A76FC"/>
    <w:rsid w:val="006B0C4A"/>
    <w:rsid w:val="006B10BA"/>
    <w:rsid w:val="006B21F9"/>
    <w:rsid w:val="006B4C50"/>
    <w:rsid w:val="006B690E"/>
    <w:rsid w:val="006B70FF"/>
    <w:rsid w:val="006B7AC8"/>
    <w:rsid w:val="006B7FF7"/>
    <w:rsid w:val="006C01BE"/>
    <w:rsid w:val="006C03EA"/>
    <w:rsid w:val="006C7231"/>
    <w:rsid w:val="006D0088"/>
    <w:rsid w:val="006D0379"/>
    <w:rsid w:val="006D0719"/>
    <w:rsid w:val="006D09F2"/>
    <w:rsid w:val="006D1409"/>
    <w:rsid w:val="006D3445"/>
    <w:rsid w:val="006D3D8B"/>
    <w:rsid w:val="006D4916"/>
    <w:rsid w:val="006E1B8C"/>
    <w:rsid w:val="006E25C2"/>
    <w:rsid w:val="006E7D40"/>
    <w:rsid w:val="006F0FCE"/>
    <w:rsid w:val="006F1273"/>
    <w:rsid w:val="006F164F"/>
    <w:rsid w:val="006F31BB"/>
    <w:rsid w:val="006F36D3"/>
    <w:rsid w:val="006F41E1"/>
    <w:rsid w:val="006F6030"/>
    <w:rsid w:val="006F62A0"/>
    <w:rsid w:val="006F75C1"/>
    <w:rsid w:val="006F75D1"/>
    <w:rsid w:val="006F7B4F"/>
    <w:rsid w:val="00703446"/>
    <w:rsid w:val="007045EC"/>
    <w:rsid w:val="00705B7C"/>
    <w:rsid w:val="00710AFC"/>
    <w:rsid w:val="007118A7"/>
    <w:rsid w:val="00711B4E"/>
    <w:rsid w:val="00711BF0"/>
    <w:rsid w:val="0071236C"/>
    <w:rsid w:val="007139E4"/>
    <w:rsid w:val="007177BB"/>
    <w:rsid w:val="00720E8A"/>
    <w:rsid w:val="007213DC"/>
    <w:rsid w:val="0072184F"/>
    <w:rsid w:val="007221B0"/>
    <w:rsid w:val="00722F71"/>
    <w:rsid w:val="00723C04"/>
    <w:rsid w:val="007266CA"/>
    <w:rsid w:val="00727891"/>
    <w:rsid w:val="007305AB"/>
    <w:rsid w:val="0073090C"/>
    <w:rsid w:val="00731C48"/>
    <w:rsid w:val="0073200D"/>
    <w:rsid w:val="00732750"/>
    <w:rsid w:val="007341A1"/>
    <w:rsid w:val="00735E4B"/>
    <w:rsid w:val="007364B5"/>
    <w:rsid w:val="00736F50"/>
    <w:rsid w:val="0074143E"/>
    <w:rsid w:val="007422E5"/>
    <w:rsid w:val="00742ACC"/>
    <w:rsid w:val="00743003"/>
    <w:rsid w:val="00743432"/>
    <w:rsid w:val="007441C0"/>
    <w:rsid w:val="007458B4"/>
    <w:rsid w:val="00746596"/>
    <w:rsid w:val="00746717"/>
    <w:rsid w:val="007467DE"/>
    <w:rsid w:val="00746AD3"/>
    <w:rsid w:val="00747564"/>
    <w:rsid w:val="007503CF"/>
    <w:rsid w:val="00751093"/>
    <w:rsid w:val="0075237F"/>
    <w:rsid w:val="007525D4"/>
    <w:rsid w:val="00753361"/>
    <w:rsid w:val="00753D8E"/>
    <w:rsid w:val="007565EE"/>
    <w:rsid w:val="007571EB"/>
    <w:rsid w:val="007601D8"/>
    <w:rsid w:val="007631F5"/>
    <w:rsid w:val="007639EB"/>
    <w:rsid w:val="00764437"/>
    <w:rsid w:val="007644AD"/>
    <w:rsid w:val="007644F0"/>
    <w:rsid w:val="00764ACE"/>
    <w:rsid w:val="00764D39"/>
    <w:rsid w:val="00764E53"/>
    <w:rsid w:val="00765983"/>
    <w:rsid w:val="00767F86"/>
    <w:rsid w:val="00772B9E"/>
    <w:rsid w:val="007731F2"/>
    <w:rsid w:val="00773816"/>
    <w:rsid w:val="00773D1C"/>
    <w:rsid w:val="00774A96"/>
    <w:rsid w:val="007752BE"/>
    <w:rsid w:val="00775C02"/>
    <w:rsid w:val="007763D4"/>
    <w:rsid w:val="00777BF5"/>
    <w:rsid w:val="0078097C"/>
    <w:rsid w:val="00781498"/>
    <w:rsid w:val="00782E5D"/>
    <w:rsid w:val="00784A5B"/>
    <w:rsid w:val="007872EA"/>
    <w:rsid w:val="00787FF6"/>
    <w:rsid w:val="0079007B"/>
    <w:rsid w:val="007903B1"/>
    <w:rsid w:val="00791CC9"/>
    <w:rsid w:val="00792B85"/>
    <w:rsid w:val="00792F8B"/>
    <w:rsid w:val="00793211"/>
    <w:rsid w:val="00794502"/>
    <w:rsid w:val="0079589E"/>
    <w:rsid w:val="00795DE4"/>
    <w:rsid w:val="00797D23"/>
    <w:rsid w:val="007A558A"/>
    <w:rsid w:val="007A5697"/>
    <w:rsid w:val="007A6D30"/>
    <w:rsid w:val="007A7519"/>
    <w:rsid w:val="007A7822"/>
    <w:rsid w:val="007B00C4"/>
    <w:rsid w:val="007B0587"/>
    <w:rsid w:val="007B0B0F"/>
    <w:rsid w:val="007B2825"/>
    <w:rsid w:val="007B389F"/>
    <w:rsid w:val="007B4D43"/>
    <w:rsid w:val="007B4D6A"/>
    <w:rsid w:val="007B598E"/>
    <w:rsid w:val="007B6685"/>
    <w:rsid w:val="007C0C37"/>
    <w:rsid w:val="007C1804"/>
    <w:rsid w:val="007C3478"/>
    <w:rsid w:val="007C4E00"/>
    <w:rsid w:val="007C5EC3"/>
    <w:rsid w:val="007C701D"/>
    <w:rsid w:val="007D13C6"/>
    <w:rsid w:val="007D23BF"/>
    <w:rsid w:val="007D24E4"/>
    <w:rsid w:val="007D3B46"/>
    <w:rsid w:val="007D5766"/>
    <w:rsid w:val="007D60DB"/>
    <w:rsid w:val="007D615F"/>
    <w:rsid w:val="007E05FE"/>
    <w:rsid w:val="007E0C57"/>
    <w:rsid w:val="007E0D49"/>
    <w:rsid w:val="007E11B0"/>
    <w:rsid w:val="007E1BA9"/>
    <w:rsid w:val="007E20D4"/>
    <w:rsid w:val="007E2390"/>
    <w:rsid w:val="007E308E"/>
    <w:rsid w:val="007E33C5"/>
    <w:rsid w:val="007E35BA"/>
    <w:rsid w:val="007E4044"/>
    <w:rsid w:val="007E4D28"/>
    <w:rsid w:val="007E5512"/>
    <w:rsid w:val="007E5942"/>
    <w:rsid w:val="007F0F4F"/>
    <w:rsid w:val="007F103D"/>
    <w:rsid w:val="007F2DDE"/>
    <w:rsid w:val="007F403B"/>
    <w:rsid w:val="00800176"/>
    <w:rsid w:val="00800E36"/>
    <w:rsid w:val="00801136"/>
    <w:rsid w:val="00801882"/>
    <w:rsid w:val="00802408"/>
    <w:rsid w:val="00802BF6"/>
    <w:rsid w:val="00806294"/>
    <w:rsid w:val="008100C8"/>
    <w:rsid w:val="00811F5E"/>
    <w:rsid w:val="00813ACF"/>
    <w:rsid w:val="008147C8"/>
    <w:rsid w:val="00815E6F"/>
    <w:rsid w:val="0082183A"/>
    <w:rsid w:val="00822199"/>
    <w:rsid w:val="0082320B"/>
    <w:rsid w:val="00823DB6"/>
    <w:rsid w:val="0082591E"/>
    <w:rsid w:val="00825B11"/>
    <w:rsid w:val="0082761A"/>
    <w:rsid w:val="00830124"/>
    <w:rsid w:val="008303FB"/>
    <w:rsid w:val="00831067"/>
    <w:rsid w:val="00831A1E"/>
    <w:rsid w:val="00832600"/>
    <w:rsid w:val="00832C51"/>
    <w:rsid w:val="0083386A"/>
    <w:rsid w:val="00833882"/>
    <w:rsid w:val="00833C7A"/>
    <w:rsid w:val="00833E5A"/>
    <w:rsid w:val="00834FF3"/>
    <w:rsid w:val="00835672"/>
    <w:rsid w:val="00836244"/>
    <w:rsid w:val="008372B2"/>
    <w:rsid w:val="0084071A"/>
    <w:rsid w:val="0084216B"/>
    <w:rsid w:val="00842EDD"/>
    <w:rsid w:val="0084342C"/>
    <w:rsid w:val="00844D9B"/>
    <w:rsid w:val="00845109"/>
    <w:rsid w:val="008453C5"/>
    <w:rsid w:val="00846FB4"/>
    <w:rsid w:val="008504EA"/>
    <w:rsid w:val="00853FFB"/>
    <w:rsid w:val="0085588D"/>
    <w:rsid w:val="008579A3"/>
    <w:rsid w:val="008608E6"/>
    <w:rsid w:val="00861FDD"/>
    <w:rsid w:val="0086227A"/>
    <w:rsid w:val="00865AFA"/>
    <w:rsid w:val="00866831"/>
    <w:rsid w:val="0086783C"/>
    <w:rsid w:val="00867CFE"/>
    <w:rsid w:val="00867ED2"/>
    <w:rsid w:val="008700E4"/>
    <w:rsid w:val="008707AC"/>
    <w:rsid w:val="00870D02"/>
    <w:rsid w:val="00870D28"/>
    <w:rsid w:val="00871391"/>
    <w:rsid w:val="00871B7A"/>
    <w:rsid w:val="00872E0F"/>
    <w:rsid w:val="008737FC"/>
    <w:rsid w:val="00874A8B"/>
    <w:rsid w:val="008756EE"/>
    <w:rsid w:val="008763EA"/>
    <w:rsid w:val="0087654B"/>
    <w:rsid w:val="008773F3"/>
    <w:rsid w:val="008775F5"/>
    <w:rsid w:val="00880F39"/>
    <w:rsid w:val="00881BD6"/>
    <w:rsid w:val="00882499"/>
    <w:rsid w:val="00882726"/>
    <w:rsid w:val="00882AB7"/>
    <w:rsid w:val="0088575E"/>
    <w:rsid w:val="00885CAF"/>
    <w:rsid w:val="008922BB"/>
    <w:rsid w:val="00892ACF"/>
    <w:rsid w:val="0089353F"/>
    <w:rsid w:val="00896EAB"/>
    <w:rsid w:val="0089706A"/>
    <w:rsid w:val="008A0210"/>
    <w:rsid w:val="008A1A08"/>
    <w:rsid w:val="008A2A0A"/>
    <w:rsid w:val="008A3C15"/>
    <w:rsid w:val="008A53D0"/>
    <w:rsid w:val="008A62FC"/>
    <w:rsid w:val="008A68C5"/>
    <w:rsid w:val="008B071F"/>
    <w:rsid w:val="008B0795"/>
    <w:rsid w:val="008B0C0F"/>
    <w:rsid w:val="008B2F18"/>
    <w:rsid w:val="008B30E9"/>
    <w:rsid w:val="008B4CAA"/>
    <w:rsid w:val="008B558C"/>
    <w:rsid w:val="008B6C7E"/>
    <w:rsid w:val="008B7A42"/>
    <w:rsid w:val="008C0C25"/>
    <w:rsid w:val="008C113C"/>
    <w:rsid w:val="008C1984"/>
    <w:rsid w:val="008C30C4"/>
    <w:rsid w:val="008C3218"/>
    <w:rsid w:val="008C36BC"/>
    <w:rsid w:val="008C3BF5"/>
    <w:rsid w:val="008C502A"/>
    <w:rsid w:val="008C6649"/>
    <w:rsid w:val="008D0BF3"/>
    <w:rsid w:val="008D162C"/>
    <w:rsid w:val="008D2503"/>
    <w:rsid w:val="008D3D88"/>
    <w:rsid w:val="008D556A"/>
    <w:rsid w:val="008D74A4"/>
    <w:rsid w:val="008E17BA"/>
    <w:rsid w:val="008E1F65"/>
    <w:rsid w:val="008E411E"/>
    <w:rsid w:val="008E4653"/>
    <w:rsid w:val="008E53EE"/>
    <w:rsid w:val="008E6170"/>
    <w:rsid w:val="008E6BE3"/>
    <w:rsid w:val="008E7A24"/>
    <w:rsid w:val="008F1C48"/>
    <w:rsid w:val="008F37E5"/>
    <w:rsid w:val="008F4627"/>
    <w:rsid w:val="008F5326"/>
    <w:rsid w:val="008F5667"/>
    <w:rsid w:val="008F57E9"/>
    <w:rsid w:val="008F67CB"/>
    <w:rsid w:val="008F78DA"/>
    <w:rsid w:val="009003AC"/>
    <w:rsid w:val="009003BF"/>
    <w:rsid w:val="0090324B"/>
    <w:rsid w:val="009079E0"/>
    <w:rsid w:val="00907A41"/>
    <w:rsid w:val="009108B8"/>
    <w:rsid w:val="00910BA8"/>
    <w:rsid w:val="00910F76"/>
    <w:rsid w:val="009118D0"/>
    <w:rsid w:val="00915A2F"/>
    <w:rsid w:val="009164DC"/>
    <w:rsid w:val="009171AA"/>
    <w:rsid w:val="00917E2A"/>
    <w:rsid w:val="0092097B"/>
    <w:rsid w:val="0092280C"/>
    <w:rsid w:val="00923223"/>
    <w:rsid w:val="009238FC"/>
    <w:rsid w:val="00924D9A"/>
    <w:rsid w:val="00926CF2"/>
    <w:rsid w:val="00927116"/>
    <w:rsid w:val="00927BA0"/>
    <w:rsid w:val="00927D79"/>
    <w:rsid w:val="00927E3C"/>
    <w:rsid w:val="009300DD"/>
    <w:rsid w:val="00930CF2"/>
    <w:rsid w:val="00930FF5"/>
    <w:rsid w:val="00931461"/>
    <w:rsid w:val="00931DEC"/>
    <w:rsid w:val="00932590"/>
    <w:rsid w:val="0093266C"/>
    <w:rsid w:val="0093485E"/>
    <w:rsid w:val="00935B11"/>
    <w:rsid w:val="009361D3"/>
    <w:rsid w:val="00936F46"/>
    <w:rsid w:val="0094375E"/>
    <w:rsid w:val="00953CE9"/>
    <w:rsid w:val="00953F19"/>
    <w:rsid w:val="00954C60"/>
    <w:rsid w:val="00955A1E"/>
    <w:rsid w:val="00956004"/>
    <w:rsid w:val="00960ACF"/>
    <w:rsid w:val="00961017"/>
    <w:rsid w:val="00961335"/>
    <w:rsid w:val="009627DA"/>
    <w:rsid w:val="00964046"/>
    <w:rsid w:val="00964EE9"/>
    <w:rsid w:val="00965C05"/>
    <w:rsid w:val="009663F4"/>
    <w:rsid w:val="009676CA"/>
    <w:rsid w:val="0096792B"/>
    <w:rsid w:val="009719E9"/>
    <w:rsid w:val="009723B1"/>
    <w:rsid w:val="00973FB8"/>
    <w:rsid w:val="00974F3F"/>
    <w:rsid w:val="00976721"/>
    <w:rsid w:val="00981166"/>
    <w:rsid w:val="0098423C"/>
    <w:rsid w:val="00985AC0"/>
    <w:rsid w:val="009867A9"/>
    <w:rsid w:val="00987D75"/>
    <w:rsid w:val="009914FD"/>
    <w:rsid w:val="00991DED"/>
    <w:rsid w:val="00992892"/>
    <w:rsid w:val="00995208"/>
    <w:rsid w:val="009A0C4D"/>
    <w:rsid w:val="009A0D30"/>
    <w:rsid w:val="009A38F7"/>
    <w:rsid w:val="009A5771"/>
    <w:rsid w:val="009A6544"/>
    <w:rsid w:val="009A68A5"/>
    <w:rsid w:val="009B260F"/>
    <w:rsid w:val="009B4BC4"/>
    <w:rsid w:val="009B6F6E"/>
    <w:rsid w:val="009C052A"/>
    <w:rsid w:val="009C273F"/>
    <w:rsid w:val="009C2E52"/>
    <w:rsid w:val="009C4557"/>
    <w:rsid w:val="009C5742"/>
    <w:rsid w:val="009C6237"/>
    <w:rsid w:val="009C634D"/>
    <w:rsid w:val="009C66FB"/>
    <w:rsid w:val="009C756E"/>
    <w:rsid w:val="009D09B2"/>
    <w:rsid w:val="009D1894"/>
    <w:rsid w:val="009D3EB7"/>
    <w:rsid w:val="009D5C6C"/>
    <w:rsid w:val="009D7A62"/>
    <w:rsid w:val="009D7E3A"/>
    <w:rsid w:val="009E032A"/>
    <w:rsid w:val="009E0575"/>
    <w:rsid w:val="009E18F8"/>
    <w:rsid w:val="009E5803"/>
    <w:rsid w:val="009E5EE5"/>
    <w:rsid w:val="009E793F"/>
    <w:rsid w:val="009E7FBB"/>
    <w:rsid w:val="009F005A"/>
    <w:rsid w:val="009F060E"/>
    <w:rsid w:val="009F4A60"/>
    <w:rsid w:val="009F51ED"/>
    <w:rsid w:val="009F61BB"/>
    <w:rsid w:val="009F62C3"/>
    <w:rsid w:val="00A009E1"/>
    <w:rsid w:val="00A03782"/>
    <w:rsid w:val="00A04CAD"/>
    <w:rsid w:val="00A05EBA"/>
    <w:rsid w:val="00A06538"/>
    <w:rsid w:val="00A131B5"/>
    <w:rsid w:val="00A13C48"/>
    <w:rsid w:val="00A149EC"/>
    <w:rsid w:val="00A15221"/>
    <w:rsid w:val="00A174BA"/>
    <w:rsid w:val="00A17910"/>
    <w:rsid w:val="00A17E00"/>
    <w:rsid w:val="00A17E2D"/>
    <w:rsid w:val="00A20D88"/>
    <w:rsid w:val="00A21FEB"/>
    <w:rsid w:val="00A23187"/>
    <w:rsid w:val="00A23AA3"/>
    <w:rsid w:val="00A23B5F"/>
    <w:rsid w:val="00A23F7E"/>
    <w:rsid w:val="00A24B8F"/>
    <w:rsid w:val="00A26C6A"/>
    <w:rsid w:val="00A301F4"/>
    <w:rsid w:val="00A31791"/>
    <w:rsid w:val="00A323C7"/>
    <w:rsid w:val="00A33A06"/>
    <w:rsid w:val="00A3443B"/>
    <w:rsid w:val="00A358EB"/>
    <w:rsid w:val="00A35C1A"/>
    <w:rsid w:val="00A35E8E"/>
    <w:rsid w:val="00A37343"/>
    <w:rsid w:val="00A42C5D"/>
    <w:rsid w:val="00A4388C"/>
    <w:rsid w:val="00A448BE"/>
    <w:rsid w:val="00A451A3"/>
    <w:rsid w:val="00A4567F"/>
    <w:rsid w:val="00A45DC2"/>
    <w:rsid w:val="00A45F50"/>
    <w:rsid w:val="00A46714"/>
    <w:rsid w:val="00A54843"/>
    <w:rsid w:val="00A54D2D"/>
    <w:rsid w:val="00A5593E"/>
    <w:rsid w:val="00A55947"/>
    <w:rsid w:val="00A60162"/>
    <w:rsid w:val="00A64CCC"/>
    <w:rsid w:val="00A64FA1"/>
    <w:rsid w:val="00A66CA9"/>
    <w:rsid w:val="00A70562"/>
    <w:rsid w:val="00A70DAE"/>
    <w:rsid w:val="00A71AF3"/>
    <w:rsid w:val="00A722F2"/>
    <w:rsid w:val="00A724A5"/>
    <w:rsid w:val="00A76434"/>
    <w:rsid w:val="00A809A9"/>
    <w:rsid w:val="00A8274F"/>
    <w:rsid w:val="00A84BA1"/>
    <w:rsid w:val="00A87993"/>
    <w:rsid w:val="00A87F74"/>
    <w:rsid w:val="00A9000A"/>
    <w:rsid w:val="00A908B9"/>
    <w:rsid w:val="00A9111A"/>
    <w:rsid w:val="00A9275C"/>
    <w:rsid w:val="00A93998"/>
    <w:rsid w:val="00A939FC"/>
    <w:rsid w:val="00A93CED"/>
    <w:rsid w:val="00A93E3B"/>
    <w:rsid w:val="00A94354"/>
    <w:rsid w:val="00A94B75"/>
    <w:rsid w:val="00A96D43"/>
    <w:rsid w:val="00A96D7B"/>
    <w:rsid w:val="00A97C29"/>
    <w:rsid w:val="00AA0741"/>
    <w:rsid w:val="00AA0DFF"/>
    <w:rsid w:val="00AA48DB"/>
    <w:rsid w:val="00AA4EE7"/>
    <w:rsid w:val="00AA644F"/>
    <w:rsid w:val="00AA6BEF"/>
    <w:rsid w:val="00AA6D6C"/>
    <w:rsid w:val="00AA7036"/>
    <w:rsid w:val="00AA76E0"/>
    <w:rsid w:val="00AA7A0C"/>
    <w:rsid w:val="00AB1DD8"/>
    <w:rsid w:val="00AB3F08"/>
    <w:rsid w:val="00AB461E"/>
    <w:rsid w:val="00AB4B93"/>
    <w:rsid w:val="00AB5817"/>
    <w:rsid w:val="00AB58C3"/>
    <w:rsid w:val="00AB7662"/>
    <w:rsid w:val="00AB7BC7"/>
    <w:rsid w:val="00AC0555"/>
    <w:rsid w:val="00AC37EC"/>
    <w:rsid w:val="00AC3CE1"/>
    <w:rsid w:val="00AC406D"/>
    <w:rsid w:val="00AC4EB7"/>
    <w:rsid w:val="00AD13C0"/>
    <w:rsid w:val="00AD262B"/>
    <w:rsid w:val="00AD2779"/>
    <w:rsid w:val="00AD357C"/>
    <w:rsid w:val="00AD5827"/>
    <w:rsid w:val="00AD5D52"/>
    <w:rsid w:val="00AD5F85"/>
    <w:rsid w:val="00AD6419"/>
    <w:rsid w:val="00AD664C"/>
    <w:rsid w:val="00AE1C40"/>
    <w:rsid w:val="00AE1CDC"/>
    <w:rsid w:val="00AE2C0C"/>
    <w:rsid w:val="00AE2CA9"/>
    <w:rsid w:val="00AE3410"/>
    <w:rsid w:val="00AE39BF"/>
    <w:rsid w:val="00AE4388"/>
    <w:rsid w:val="00AE4C19"/>
    <w:rsid w:val="00AF00AE"/>
    <w:rsid w:val="00AF1333"/>
    <w:rsid w:val="00AF2BD0"/>
    <w:rsid w:val="00AF4078"/>
    <w:rsid w:val="00AF4596"/>
    <w:rsid w:val="00AF4B66"/>
    <w:rsid w:val="00AF62B4"/>
    <w:rsid w:val="00AF67FB"/>
    <w:rsid w:val="00AF6ABB"/>
    <w:rsid w:val="00B00269"/>
    <w:rsid w:val="00B002AA"/>
    <w:rsid w:val="00B02FFB"/>
    <w:rsid w:val="00B04924"/>
    <w:rsid w:val="00B0516F"/>
    <w:rsid w:val="00B0648B"/>
    <w:rsid w:val="00B0788D"/>
    <w:rsid w:val="00B07FF4"/>
    <w:rsid w:val="00B12478"/>
    <w:rsid w:val="00B128F3"/>
    <w:rsid w:val="00B12B15"/>
    <w:rsid w:val="00B12E42"/>
    <w:rsid w:val="00B14156"/>
    <w:rsid w:val="00B147A7"/>
    <w:rsid w:val="00B14835"/>
    <w:rsid w:val="00B14A8D"/>
    <w:rsid w:val="00B15446"/>
    <w:rsid w:val="00B1744E"/>
    <w:rsid w:val="00B17468"/>
    <w:rsid w:val="00B174A4"/>
    <w:rsid w:val="00B208FC"/>
    <w:rsid w:val="00B21CD1"/>
    <w:rsid w:val="00B24087"/>
    <w:rsid w:val="00B24B09"/>
    <w:rsid w:val="00B26556"/>
    <w:rsid w:val="00B26A86"/>
    <w:rsid w:val="00B3135E"/>
    <w:rsid w:val="00B31905"/>
    <w:rsid w:val="00B35BA3"/>
    <w:rsid w:val="00B365D8"/>
    <w:rsid w:val="00B37687"/>
    <w:rsid w:val="00B40276"/>
    <w:rsid w:val="00B40CB7"/>
    <w:rsid w:val="00B41B5C"/>
    <w:rsid w:val="00B41E08"/>
    <w:rsid w:val="00B43298"/>
    <w:rsid w:val="00B4362D"/>
    <w:rsid w:val="00B43F73"/>
    <w:rsid w:val="00B43FC7"/>
    <w:rsid w:val="00B45AEE"/>
    <w:rsid w:val="00B46B82"/>
    <w:rsid w:val="00B46C7A"/>
    <w:rsid w:val="00B51CAD"/>
    <w:rsid w:val="00B52364"/>
    <w:rsid w:val="00B52ABC"/>
    <w:rsid w:val="00B52BCB"/>
    <w:rsid w:val="00B53034"/>
    <w:rsid w:val="00B53828"/>
    <w:rsid w:val="00B60398"/>
    <w:rsid w:val="00B60C6E"/>
    <w:rsid w:val="00B62C19"/>
    <w:rsid w:val="00B62D0C"/>
    <w:rsid w:val="00B63F27"/>
    <w:rsid w:val="00B6458E"/>
    <w:rsid w:val="00B646E8"/>
    <w:rsid w:val="00B656C2"/>
    <w:rsid w:val="00B70D16"/>
    <w:rsid w:val="00B73B6F"/>
    <w:rsid w:val="00B73E99"/>
    <w:rsid w:val="00B7421B"/>
    <w:rsid w:val="00B74BB5"/>
    <w:rsid w:val="00B82FB3"/>
    <w:rsid w:val="00B83525"/>
    <w:rsid w:val="00B847F1"/>
    <w:rsid w:val="00B84AE4"/>
    <w:rsid w:val="00B852CF"/>
    <w:rsid w:val="00B85599"/>
    <w:rsid w:val="00B86BF1"/>
    <w:rsid w:val="00B871C6"/>
    <w:rsid w:val="00B872C8"/>
    <w:rsid w:val="00B908D5"/>
    <w:rsid w:val="00B95578"/>
    <w:rsid w:val="00B96B13"/>
    <w:rsid w:val="00BA051E"/>
    <w:rsid w:val="00BA26E3"/>
    <w:rsid w:val="00BA2FC6"/>
    <w:rsid w:val="00BA5931"/>
    <w:rsid w:val="00BA643D"/>
    <w:rsid w:val="00BA77B1"/>
    <w:rsid w:val="00BB5965"/>
    <w:rsid w:val="00BB6E73"/>
    <w:rsid w:val="00BB7B16"/>
    <w:rsid w:val="00BC038F"/>
    <w:rsid w:val="00BC0808"/>
    <w:rsid w:val="00BC0DED"/>
    <w:rsid w:val="00BC157F"/>
    <w:rsid w:val="00BC15EF"/>
    <w:rsid w:val="00BC1FEC"/>
    <w:rsid w:val="00BC4002"/>
    <w:rsid w:val="00BC4039"/>
    <w:rsid w:val="00BC4788"/>
    <w:rsid w:val="00BC538B"/>
    <w:rsid w:val="00BD11A5"/>
    <w:rsid w:val="00BD1BFA"/>
    <w:rsid w:val="00BD239B"/>
    <w:rsid w:val="00BD25D4"/>
    <w:rsid w:val="00BD2CBA"/>
    <w:rsid w:val="00BD424B"/>
    <w:rsid w:val="00BD75C8"/>
    <w:rsid w:val="00BD7A67"/>
    <w:rsid w:val="00BE14FC"/>
    <w:rsid w:val="00BE16F9"/>
    <w:rsid w:val="00BE18B2"/>
    <w:rsid w:val="00BE1F3A"/>
    <w:rsid w:val="00BE23BE"/>
    <w:rsid w:val="00BE3415"/>
    <w:rsid w:val="00BE3452"/>
    <w:rsid w:val="00BE47A9"/>
    <w:rsid w:val="00BE646E"/>
    <w:rsid w:val="00BE73AA"/>
    <w:rsid w:val="00BF0506"/>
    <w:rsid w:val="00BF0E2E"/>
    <w:rsid w:val="00BF2DEB"/>
    <w:rsid w:val="00BF3BDE"/>
    <w:rsid w:val="00BF53AE"/>
    <w:rsid w:val="00BF58A6"/>
    <w:rsid w:val="00C0020E"/>
    <w:rsid w:val="00C00D89"/>
    <w:rsid w:val="00C00E3B"/>
    <w:rsid w:val="00C04D5D"/>
    <w:rsid w:val="00C063BE"/>
    <w:rsid w:val="00C07CE5"/>
    <w:rsid w:val="00C10B4E"/>
    <w:rsid w:val="00C10B83"/>
    <w:rsid w:val="00C13041"/>
    <w:rsid w:val="00C1483C"/>
    <w:rsid w:val="00C14F4D"/>
    <w:rsid w:val="00C16E3A"/>
    <w:rsid w:val="00C17EE9"/>
    <w:rsid w:val="00C20199"/>
    <w:rsid w:val="00C21472"/>
    <w:rsid w:val="00C22870"/>
    <w:rsid w:val="00C22994"/>
    <w:rsid w:val="00C24ADB"/>
    <w:rsid w:val="00C24B7D"/>
    <w:rsid w:val="00C24DB2"/>
    <w:rsid w:val="00C25709"/>
    <w:rsid w:val="00C26254"/>
    <w:rsid w:val="00C33353"/>
    <w:rsid w:val="00C34E2D"/>
    <w:rsid w:val="00C34FA7"/>
    <w:rsid w:val="00C368A2"/>
    <w:rsid w:val="00C373E2"/>
    <w:rsid w:val="00C42190"/>
    <w:rsid w:val="00C44CE9"/>
    <w:rsid w:val="00C44F54"/>
    <w:rsid w:val="00C45F02"/>
    <w:rsid w:val="00C46458"/>
    <w:rsid w:val="00C5138C"/>
    <w:rsid w:val="00C51FE2"/>
    <w:rsid w:val="00C52F0D"/>
    <w:rsid w:val="00C536D8"/>
    <w:rsid w:val="00C55E63"/>
    <w:rsid w:val="00C55F5D"/>
    <w:rsid w:val="00C60C03"/>
    <w:rsid w:val="00C61906"/>
    <w:rsid w:val="00C65A0F"/>
    <w:rsid w:val="00C65F50"/>
    <w:rsid w:val="00C66416"/>
    <w:rsid w:val="00C6720B"/>
    <w:rsid w:val="00C72249"/>
    <w:rsid w:val="00C741B1"/>
    <w:rsid w:val="00C74F5D"/>
    <w:rsid w:val="00C75319"/>
    <w:rsid w:val="00C76F20"/>
    <w:rsid w:val="00C777EC"/>
    <w:rsid w:val="00C7784E"/>
    <w:rsid w:val="00C80836"/>
    <w:rsid w:val="00C808F4"/>
    <w:rsid w:val="00C82411"/>
    <w:rsid w:val="00C85FB7"/>
    <w:rsid w:val="00C86EF1"/>
    <w:rsid w:val="00C87051"/>
    <w:rsid w:val="00C94ABF"/>
    <w:rsid w:val="00C94AE3"/>
    <w:rsid w:val="00C965FC"/>
    <w:rsid w:val="00CA0A36"/>
    <w:rsid w:val="00CA0C53"/>
    <w:rsid w:val="00CA0CA0"/>
    <w:rsid w:val="00CA0EE4"/>
    <w:rsid w:val="00CA138A"/>
    <w:rsid w:val="00CA17E5"/>
    <w:rsid w:val="00CA18E3"/>
    <w:rsid w:val="00CA2B62"/>
    <w:rsid w:val="00CA3030"/>
    <w:rsid w:val="00CA34FE"/>
    <w:rsid w:val="00CA3CD3"/>
    <w:rsid w:val="00CA5876"/>
    <w:rsid w:val="00CA7495"/>
    <w:rsid w:val="00CA79B8"/>
    <w:rsid w:val="00CB0495"/>
    <w:rsid w:val="00CB0644"/>
    <w:rsid w:val="00CB0CCF"/>
    <w:rsid w:val="00CB3E3D"/>
    <w:rsid w:val="00CB5B3C"/>
    <w:rsid w:val="00CC31CD"/>
    <w:rsid w:val="00CC3CBE"/>
    <w:rsid w:val="00CC3FAB"/>
    <w:rsid w:val="00CC4D44"/>
    <w:rsid w:val="00CD062C"/>
    <w:rsid w:val="00CD15B3"/>
    <w:rsid w:val="00CD2834"/>
    <w:rsid w:val="00CD32CD"/>
    <w:rsid w:val="00CD345C"/>
    <w:rsid w:val="00CD76FF"/>
    <w:rsid w:val="00CE03A7"/>
    <w:rsid w:val="00CE49BC"/>
    <w:rsid w:val="00CE4A9A"/>
    <w:rsid w:val="00CE64EF"/>
    <w:rsid w:val="00CF07A6"/>
    <w:rsid w:val="00CF0B66"/>
    <w:rsid w:val="00CF0FFE"/>
    <w:rsid w:val="00CF52B0"/>
    <w:rsid w:val="00CF586B"/>
    <w:rsid w:val="00CF7CF7"/>
    <w:rsid w:val="00D00971"/>
    <w:rsid w:val="00D03886"/>
    <w:rsid w:val="00D03CFA"/>
    <w:rsid w:val="00D04600"/>
    <w:rsid w:val="00D046FD"/>
    <w:rsid w:val="00D0710E"/>
    <w:rsid w:val="00D1163E"/>
    <w:rsid w:val="00D13DFA"/>
    <w:rsid w:val="00D14BB3"/>
    <w:rsid w:val="00D15918"/>
    <w:rsid w:val="00D1596B"/>
    <w:rsid w:val="00D15BD2"/>
    <w:rsid w:val="00D23B2E"/>
    <w:rsid w:val="00D23DF1"/>
    <w:rsid w:val="00D250CE"/>
    <w:rsid w:val="00D257AF"/>
    <w:rsid w:val="00D27127"/>
    <w:rsid w:val="00D30472"/>
    <w:rsid w:val="00D328DA"/>
    <w:rsid w:val="00D33ED6"/>
    <w:rsid w:val="00D34304"/>
    <w:rsid w:val="00D34579"/>
    <w:rsid w:val="00D34782"/>
    <w:rsid w:val="00D351D3"/>
    <w:rsid w:val="00D355F2"/>
    <w:rsid w:val="00D35870"/>
    <w:rsid w:val="00D36535"/>
    <w:rsid w:val="00D40353"/>
    <w:rsid w:val="00D409D4"/>
    <w:rsid w:val="00D419D7"/>
    <w:rsid w:val="00D4423F"/>
    <w:rsid w:val="00D459D7"/>
    <w:rsid w:val="00D4737E"/>
    <w:rsid w:val="00D473B7"/>
    <w:rsid w:val="00D47A8B"/>
    <w:rsid w:val="00D47EFF"/>
    <w:rsid w:val="00D5050A"/>
    <w:rsid w:val="00D50BC6"/>
    <w:rsid w:val="00D510F6"/>
    <w:rsid w:val="00D52F4C"/>
    <w:rsid w:val="00D53374"/>
    <w:rsid w:val="00D534EF"/>
    <w:rsid w:val="00D55ABD"/>
    <w:rsid w:val="00D60F6C"/>
    <w:rsid w:val="00D613DA"/>
    <w:rsid w:val="00D629B4"/>
    <w:rsid w:val="00D62A76"/>
    <w:rsid w:val="00D6475D"/>
    <w:rsid w:val="00D65CE2"/>
    <w:rsid w:val="00D674CF"/>
    <w:rsid w:val="00D6771B"/>
    <w:rsid w:val="00D67AB8"/>
    <w:rsid w:val="00D72480"/>
    <w:rsid w:val="00D7295D"/>
    <w:rsid w:val="00D73DB4"/>
    <w:rsid w:val="00D73DD0"/>
    <w:rsid w:val="00D74AC9"/>
    <w:rsid w:val="00D76010"/>
    <w:rsid w:val="00D80A92"/>
    <w:rsid w:val="00D80DD9"/>
    <w:rsid w:val="00D8210F"/>
    <w:rsid w:val="00D8559F"/>
    <w:rsid w:val="00D86D85"/>
    <w:rsid w:val="00D90327"/>
    <w:rsid w:val="00D90426"/>
    <w:rsid w:val="00D922E2"/>
    <w:rsid w:val="00D92CBB"/>
    <w:rsid w:val="00D94AEE"/>
    <w:rsid w:val="00D95BAC"/>
    <w:rsid w:val="00D96A6F"/>
    <w:rsid w:val="00D9787D"/>
    <w:rsid w:val="00D97D9D"/>
    <w:rsid w:val="00DA1E4A"/>
    <w:rsid w:val="00DA3937"/>
    <w:rsid w:val="00DA41C2"/>
    <w:rsid w:val="00DA4E4E"/>
    <w:rsid w:val="00DA79FF"/>
    <w:rsid w:val="00DB02DB"/>
    <w:rsid w:val="00DB1E2B"/>
    <w:rsid w:val="00DB2E4F"/>
    <w:rsid w:val="00DB408A"/>
    <w:rsid w:val="00DB5887"/>
    <w:rsid w:val="00DB724D"/>
    <w:rsid w:val="00DC360B"/>
    <w:rsid w:val="00DC3B3F"/>
    <w:rsid w:val="00DC426A"/>
    <w:rsid w:val="00DD1B9E"/>
    <w:rsid w:val="00DD3430"/>
    <w:rsid w:val="00DD4DEB"/>
    <w:rsid w:val="00DD5BAF"/>
    <w:rsid w:val="00DD5D0F"/>
    <w:rsid w:val="00DD7056"/>
    <w:rsid w:val="00DD763F"/>
    <w:rsid w:val="00DD7900"/>
    <w:rsid w:val="00DE1257"/>
    <w:rsid w:val="00DE1CA0"/>
    <w:rsid w:val="00DE3FD8"/>
    <w:rsid w:val="00DE4A8D"/>
    <w:rsid w:val="00DE7B06"/>
    <w:rsid w:val="00DE7E64"/>
    <w:rsid w:val="00DF05DB"/>
    <w:rsid w:val="00DF1D11"/>
    <w:rsid w:val="00DF2164"/>
    <w:rsid w:val="00DF528C"/>
    <w:rsid w:val="00DF7747"/>
    <w:rsid w:val="00E00F42"/>
    <w:rsid w:val="00E014A6"/>
    <w:rsid w:val="00E02CEA"/>
    <w:rsid w:val="00E0387F"/>
    <w:rsid w:val="00E04D4B"/>
    <w:rsid w:val="00E04EB9"/>
    <w:rsid w:val="00E06AB9"/>
    <w:rsid w:val="00E070B5"/>
    <w:rsid w:val="00E11E38"/>
    <w:rsid w:val="00E12A33"/>
    <w:rsid w:val="00E13411"/>
    <w:rsid w:val="00E1366E"/>
    <w:rsid w:val="00E13CF7"/>
    <w:rsid w:val="00E15304"/>
    <w:rsid w:val="00E174F2"/>
    <w:rsid w:val="00E17DAE"/>
    <w:rsid w:val="00E219AA"/>
    <w:rsid w:val="00E23E63"/>
    <w:rsid w:val="00E24BEA"/>
    <w:rsid w:val="00E25853"/>
    <w:rsid w:val="00E26533"/>
    <w:rsid w:val="00E26C31"/>
    <w:rsid w:val="00E26D41"/>
    <w:rsid w:val="00E303F7"/>
    <w:rsid w:val="00E306DC"/>
    <w:rsid w:val="00E30714"/>
    <w:rsid w:val="00E320A6"/>
    <w:rsid w:val="00E32B6F"/>
    <w:rsid w:val="00E334F0"/>
    <w:rsid w:val="00E35680"/>
    <w:rsid w:val="00E369B3"/>
    <w:rsid w:val="00E374F0"/>
    <w:rsid w:val="00E411B1"/>
    <w:rsid w:val="00E41763"/>
    <w:rsid w:val="00E41B1C"/>
    <w:rsid w:val="00E43A6C"/>
    <w:rsid w:val="00E503A3"/>
    <w:rsid w:val="00E53B1C"/>
    <w:rsid w:val="00E54BF6"/>
    <w:rsid w:val="00E56503"/>
    <w:rsid w:val="00E571F3"/>
    <w:rsid w:val="00E579FD"/>
    <w:rsid w:val="00E607AB"/>
    <w:rsid w:val="00E607E2"/>
    <w:rsid w:val="00E6082B"/>
    <w:rsid w:val="00E61798"/>
    <w:rsid w:val="00E63D31"/>
    <w:rsid w:val="00E642DB"/>
    <w:rsid w:val="00E658BE"/>
    <w:rsid w:val="00E66B9E"/>
    <w:rsid w:val="00E7091A"/>
    <w:rsid w:val="00E7122E"/>
    <w:rsid w:val="00E71259"/>
    <w:rsid w:val="00E72BDB"/>
    <w:rsid w:val="00E82156"/>
    <w:rsid w:val="00E85579"/>
    <w:rsid w:val="00E8630F"/>
    <w:rsid w:val="00E870B5"/>
    <w:rsid w:val="00E871F1"/>
    <w:rsid w:val="00E876F5"/>
    <w:rsid w:val="00E909B3"/>
    <w:rsid w:val="00E92365"/>
    <w:rsid w:val="00E92A1B"/>
    <w:rsid w:val="00E94AE3"/>
    <w:rsid w:val="00E95FA5"/>
    <w:rsid w:val="00E968CF"/>
    <w:rsid w:val="00EA12B4"/>
    <w:rsid w:val="00EA1321"/>
    <w:rsid w:val="00EA152B"/>
    <w:rsid w:val="00EA3DFF"/>
    <w:rsid w:val="00EA6AB7"/>
    <w:rsid w:val="00EB09D4"/>
    <w:rsid w:val="00EB226C"/>
    <w:rsid w:val="00EB2802"/>
    <w:rsid w:val="00EB3E02"/>
    <w:rsid w:val="00EB4048"/>
    <w:rsid w:val="00EB45F2"/>
    <w:rsid w:val="00EB4986"/>
    <w:rsid w:val="00EB5814"/>
    <w:rsid w:val="00EB5CC7"/>
    <w:rsid w:val="00EB6B3F"/>
    <w:rsid w:val="00EB77BA"/>
    <w:rsid w:val="00EB7F9C"/>
    <w:rsid w:val="00EC00DB"/>
    <w:rsid w:val="00EC0994"/>
    <w:rsid w:val="00EC0BBD"/>
    <w:rsid w:val="00EC1319"/>
    <w:rsid w:val="00EC157A"/>
    <w:rsid w:val="00EC276B"/>
    <w:rsid w:val="00EC2ACC"/>
    <w:rsid w:val="00EC40BC"/>
    <w:rsid w:val="00EC5FAB"/>
    <w:rsid w:val="00EC6044"/>
    <w:rsid w:val="00EC6216"/>
    <w:rsid w:val="00EC68FF"/>
    <w:rsid w:val="00EC6982"/>
    <w:rsid w:val="00ED016E"/>
    <w:rsid w:val="00ED05F1"/>
    <w:rsid w:val="00ED113C"/>
    <w:rsid w:val="00ED14D0"/>
    <w:rsid w:val="00ED2A85"/>
    <w:rsid w:val="00ED3AAA"/>
    <w:rsid w:val="00ED6CCE"/>
    <w:rsid w:val="00ED72D9"/>
    <w:rsid w:val="00ED7533"/>
    <w:rsid w:val="00EE2DFB"/>
    <w:rsid w:val="00EE59C9"/>
    <w:rsid w:val="00EE5C32"/>
    <w:rsid w:val="00EE6674"/>
    <w:rsid w:val="00EE6860"/>
    <w:rsid w:val="00EE78B2"/>
    <w:rsid w:val="00EF0678"/>
    <w:rsid w:val="00EF3E00"/>
    <w:rsid w:val="00EF4558"/>
    <w:rsid w:val="00EF52AB"/>
    <w:rsid w:val="00EF7139"/>
    <w:rsid w:val="00EF725F"/>
    <w:rsid w:val="00EF74A6"/>
    <w:rsid w:val="00F00286"/>
    <w:rsid w:val="00F006BA"/>
    <w:rsid w:val="00F02E6E"/>
    <w:rsid w:val="00F03651"/>
    <w:rsid w:val="00F060AA"/>
    <w:rsid w:val="00F06B84"/>
    <w:rsid w:val="00F10C97"/>
    <w:rsid w:val="00F12552"/>
    <w:rsid w:val="00F135DB"/>
    <w:rsid w:val="00F137C2"/>
    <w:rsid w:val="00F144BB"/>
    <w:rsid w:val="00F15B03"/>
    <w:rsid w:val="00F163AE"/>
    <w:rsid w:val="00F207DB"/>
    <w:rsid w:val="00F20F9C"/>
    <w:rsid w:val="00F23C2B"/>
    <w:rsid w:val="00F23DC8"/>
    <w:rsid w:val="00F23F72"/>
    <w:rsid w:val="00F24FFF"/>
    <w:rsid w:val="00F300F7"/>
    <w:rsid w:val="00F305D6"/>
    <w:rsid w:val="00F305F9"/>
    <w:rsid w:val="00F3169A"/>
    <w:rsid w:val="00F31E88"/>
    <w:rsid w:val="00F32515"/>
    <w:rsid w:val="00F36425"/>
    <w:rsid w:val="00F36590"/>
    <w:rsid w:val="00F36F5B"/>
    <w:rsid w:val="00F378FE"/>
    <w:rsid w:val="00F40086"/>
    <w:rsid w:val="00F40680"/>
    <w:rsid w:val="00F40AD4"/>
    <w:rsid w:val="00F41C6E"/>
    <w:rsid w:val="00F429BE"/>
    <w:rsid w:val="00F42EFA"/>
    <w:rsid w:val="00F4340B"/>
    <w:rsid w:val="00F44E1D"/>
    <w:rsid w:val="00F453AB"/>
    <w:rsid w:val="00F45A1A"/>
    <w:rsid w:val="00F50BA2"/>
    <w:rsid w:val="00F50C4A"/>
    <w:rsid w:val="00F52175"/>
    <w:rsid w:val="00F52A69"/>
    <w:rsid w:val="00F531BF"/>
    <w:rsid w:val="00F536C7"/>
    <w:rsid w:val="00F53852"/>
    <w:rsid w:val="00F56683"/>
    <w:rsid w:val="00F57129"/>
    <w:rsid w:val="00F602A9"/>
    <w:rsid w:val="00F60E76"/>
    <w:rsid w:val="00F61749"/>
    <w:rsid w:val="00F63A11"/>
    <w:rsid w:val="00F6444E"/>
    <w:rsid w:val="00F679E0"/>
    <w:rsid w:val="00F704AE"/>
    <w:rsid w:val="00F72186"/>
    <w:rsid w:val="00F7393B"/>
    <w:rsid w:val="00F73A04"/>
    <w:rsid w:val="00F757A6"/>
    <w:rsid w:val="00F769DA"/>
    <w:rsid w:val="00F773C9"/>
    <w:rsid w:val="00F802CA"/>
    <w:rsid w:val="00F84879"/>
    <w:rsid w:val="00F86037"/>
    <w:rsid w:val="00F8613C"/>
    <w:rsid w:val="00F90B71"/>
    <w:rsid w:val="00F90F59"/>
    <w:rsid w:val="00F925CB"/>
    <w:rsid w:val="00F92C0F"/>
    <w:rsid w:val="00F92FA8"/>
    <w:rsid w:val="00F93B98"/>
    <w:rsid w:val="00F94557"/>
    <w:rsid w:val="00F96C3C"/>
    <w:rsid w:val="00FA088D"/>
    <w:rsid w:val="00FA0D6C"/>
    <w:rsid w:val="00FA138F"/>
    <w:rsid w:val="00FA13CB"/>
    <w:rsid w:val="00FA180A"/>
    <w:rsid w:val="00FA4A36"/>
    <w:rsid w:val="00FA56EA"/>
    <w:rsid w:val="00FA6257"/>
    <w:rsid w:val="00FA62AE"/>
    <w:rsid w:val="00FA63F1"/>
    <w:rsid w:val="00FA65FB"/>
    <w:rsid w:val="00FB0B5A"/>
    <w:rsid w:val="00FB1C45"/>
    <w:rsid w:val="00FB1D95"/>
    <w:rsid w:val="00FB2707"/>
    <w:rsid w:val="00FB2BDA"/>
    <w:rsid w:val="00FB2C77"/>
    <w:rsid w:val="00FB3057"/>
    <w:rsid w:val="00FB30DF"/>
    <w:rsid w:val="00FB3502"/>
    <w:rsid w:val="00FB433B"/>
    <w:rsid w:val="00FC0121"/>
    <w:rsid w:val="00FC1F29"/>
    <w:rsid w:val="00FC36B9"/>
    <w:rsid w:val="00FC3C0D"/>
    <w:rsid w:val="00FC4D67"/>
    <w:rsid w:val="00FC4F35"/>
    <w:rsid w:val="00FC6B88"/>
    <w:rsid w:val="00FC7E84"/>
    <w:rsid w:val="00FD6875"/>
    <w:rsid w:val="00FE0272"/>
    <w:rsid w:val="00FE04CE"/>
    <w:rsid w:val="00FE152C"/>
    <w:rsid w:val="00FE2D29"/>
    <w:rsid w:val="00FE3CC9"/>
    <w:rsid w:val="00FE4057"/>
    <w:rsid w:val="00FE42F7"/>
    <w:rsid w:val="00FE5193"/>
    <w:rsid w:val="00FE675C"/>
    <w:rsid w:val="00FF04AB"/>
    <w:rsid w:val="00FF0DB2"/>
    <w:rsid w:val="00FF2341"/>
    <w:rsid w:val="00FF2F69"/>
    <w:rsid w:val="00FF617C"/>
    <w:rsid w:val="01214A1E"/>
    <w:rsid w:val="01407D01"/>
    <w:rsid w:val="014D0B1B"/>
    <w:rsid w:val="014F1B49"/>
    <w:rsid w:val="0158318B"/>
    <w:rsid w:val="01610327"/>
    <w:rsid w:val="0161201C"/>
    <w:rsid w:val="01674AD8"/>
    <w:rsid w:val="017B15F7"/>
    <w:rsid w:val="01944B97"/>
    <w:rsid w:val="019A277D"/>
    <w:rsid w:val="019B2A51"/>
    <w:rsid w:val="01A050EF"/>
    <w:rsid w:val="01BB069A"/>
    <w:rsid w:val="01CF32DE"/>
    <w:rsid w:val="01D60B10"/>
    <w:rsid w:val="01DB6127"/>
    <w:rsid w:val="01DD029F"/>
    <w:rsid w:val="01EE6DBE"/>
    <w:rsid w:val="01F123AA"/>
    <w:rsid w:val="020E7F3F"/>
    <w:rsid w:val="021A6004"/>
    <w:rsid w:val="022E08B9"/>
    <w:rsid w:val="0238311C"/>
    <w:rsid w:val="023A07E4"/>
    <w:rsid w:val="0240504A"/>
    <w:rsid w:val="025608A7"/>
    <w:rsid w:val="025D291A"/>
    <w:rsid w:val="0261662C"/>
    <w:rsid w:val="02690B82"/>
    <w:rsid w:val="026B36AE"/>
    <w:rsid w:val="02711414"/>
    <w:rsid w:val="027202B1"/>
    <w:rsid w:val="02721F48"/>
    <w:rsid w:val="02805163"/>
    <w:rsid w:val="02815E8D"/>
    <w:rsid w:val="02964B6A"/>
    <w:rsid w:val="029E162E"/>
    <w:rsid w:val="02B82E4C"/>
    <w:rsid w:val="02D36DFE"/>
    <w:rsid w:val="02E41BF4"/>
    <w:rsid w:val="02F07CB0"/>
    <w:rsid w:val="030D75EF"/>
    <w:rsid w:val="031168BC"/>
    <w:rsid w:val="03143E06"/>
    <w:rsid w:val="032D26C5"/>
    <w:rsid w:val="03426C59"/>
    <w:rsid w:val="03433AF1"/>
    <w:rsid w:val="03501AE4"/>
    <w:rsid w:val="036208AE"/>
    <w:rsid w:val="03692E44"/>
    <w:rsid w:val="036D00A2"/>
    <w:rsid w:val="036F588B"/>
    <w:rsid w:val="03716722"/>
    <w:rsid w:val="039B623A"/>
    <w:rsid w:val="03B1713F"/>
    <w:rsid w:val="03B44AA5"/>
    <w:rsid w:val="040020A7"/>
    <w:rsid w:val="04473247"/>
    <w:rsid w:val="044D2B93"/>
    <w:rsid w:val="044E5014"/>
    <w:rsid w:val="04721C78"/>
    <w:rsid w:val="04833676"/>
    <w:rsid w:val="04930DBB"/>
    <w:rsid w:val="049D76C3"/>
    <w:rsid w:val="04A2371F"/>
    <w:rsid w:val="04A26A62"/>
    <w:rsid w:val="04A53BA4"/>
    <w:rsid w:val="04AA1834"/>
    <w:rsid w:val="04D17C83"/>
    <w:rsid w:val="04E374DE"/>
    <w:rsid w:val="04FF00EB"/>
    <w:rsid w:val="0501459E"/>
    <w:rsid w:val="050F4EDE"/>
    <w:rsid w:val="05107650"/>
    <w:rsid w:val="05175FCF"/>
    <w:rsid w:val="052263A0"/>
    <w:rsid w:val="0533099F"/>
    <w:rsid w:val="054E23E8"/>
    <w:rsid w:val="05504736"/>
    <w:rsid w:val="05524952"/>
    <w:rsid w:val="05586075"/>
    <w:rsid w:val="058E5789"/>
    <w:rsid w:val="05922FA0"/>
    <w:rsid w:val="059C5E7A"/>
    <w:rsid w:val="059F3F35"/>
    <w:rsid w:val="05A93EDA"/>
    <w:rsid w:val="05AB2DB2"/>
    <w:rsid w:val="05B431A7"/>
    <w:rsid w:val="05C127AF"/>
    <w:rsid w:val="05C342DE"/>
    <w:rsid w:val="05D56659"/>
    <w:rsid w:val="05DE4CD6"/>
    <w:rsid w:val="05E535CA"/>
    <w:rsid w:val="05E55267"/>
    <w:rsid w:val="05EB76F4"/>
    <w:rsid w:val="05EC4B85"/>
    <w:rsid w:val="05F56B6A"/>
    <w:rsid w:val="05F7106C"/>
    <w:rsid w:val="06027766"/>
    <w:rsid w:val="060F4610"/>
    <w:rsid w:val="06302DAA"/>
    <w:rsid w:val="06305727"/>
    <w:rsid w:val="06322461"/>
    <w:rsid w:val="063F5F20"/>
    <w:rsid w:val="06450537"/>
    <w:rsid w:val="06514C09"/>
    <w:rsid w:val="065A3ABE"/>
    <w:rsid w:val="06647C6C"/>
    <w:rsid w:val="066606B5"/>
    <w:rsid w:val="06665E33"/>
    <w:rsid w:val="066F7025"/>
    <w:rsid w:val="067B2FA9"/>
    <w:rsid w:val="067F52D3"/>
    <w:rsid w:val="06936D88"/>
    <w:rsid w:val="06A31CA0"/>
    <w:rsid w:val="06AA4A28"/>
    <w:rsid w:val="06D31947"/>
    <w:rsid w:val="06D762C8"/>
    <w:rsid w:val="06D92562"/>
    <w:rsid w:val="06E760D7"/>
    <w:rsid w:val="06EA54F3"/>
    <w:rsid w:val="06F650AE"/>
    <w:rsid w:val="06F914EA"/>
    <w:rsid w:val="07075B45"/>
    <w:rsid w:val="070A76BD"/>
    <w:rsid w:val="072E5643"/>
    <w:rsid w:val="072E6CF9"/>
    <w:rsid w:val="073B57B2"/>
    <w:rsid w:val="073D7196"/>
    <w:rsid w:val="07416BAE"/>
    <w:rsid w:val="074340EC"/>
    <w:rsid w:val="074A2C03"/>
    <w:rsid w:val="074E2EF7"/>
    <w:rsid w:val="07504429"/>
    <w:rsid w:val="07612720"/>
    <w:rsid w:val="076D4D30"/>
    <w:rsid w:val="07792B42"/>
    <w:rsid w:val="077E3D0B"/>
    <w:rsid w:val="07802773"/>
    <w:rsid w:val="078111D3"/>
    <w:rsid w:val="078C511B"/>
    <w:rsid w:val="078D2D8A"/>
    <w:rsid w:val="07996868"/>
    <w:rsid w:val="07AC65D8"/>
    <w:rsid w:val="07BE2A34"/>
    <w:rsid w:val="07C172BE"/>
    <w:rsid w:val="07D43E3E"/>
    <w:rsid w:val="07DA124D"/>
    <w:rsid w:val="07DF1893"/>
    <w:rsid w:val="07E53F70"/>
    <w:rsid w:val="07F03CBF"/>
    <w:rsid w:val="07F42B67"/>
    <w:rsid w:val="080D0CE3"/>
    <w:rsid w:val="081344B1"/>
    <w:rsid w:val="082512F2"/>
    <w:rsid w:val="083A1AF5"/>
    <w:rsid w:val="08447D35"/>
    <w:rsid w:val="086626CB"/>
    <w:rsid w:val="08790814"/>
    <w:rsid w:val="087B41C0"/>
    <w:rsid w:val="08817F9A"/>
    <w:rsid w:val="08933F38"/>
    <w:rsid w:val="089E56D2"/>
    <w:rsid w:val="08B472FE"/>
    <w:rsid w:val="08B614BD"/>
    <w:rsid w:val="08B937A7"/>
    <w:rsid w:val="08BB0F23"/>
    <w:rsid w:val="08CD671D"/>
    <w:rsid w:val="08D5688C"/>
    <w:rsid w:val="08D83875"/>
    <w:rsid w:val="08DB607E"/>
    <w:rsid w:val="08F56067"/>
    <w:rsid w:val="08F56798"/>
    <w:rsid w:val="09072AF5"/>
    <w:rsid w:val="090D78C9"/>
    <w:rsid w:val="09101FB3"/>
    <w:rsid w:val="09296C06"/>
    <w:rsid w:val="093522CB"/>
    <w:rsid w:val="093E1EFF"/>
    <w:rsid w:val="093E592B"/>
    <w:rsid w:val="097D234D"/>
    <w:rsid w:val="098E3A7F"/>
    <w:rsid w:val="0991369C"/>
    <w:rsid w:val="099512B1"/>
    <w:rsid w:val="09DF4989"/>
    <w:rsid w:val="09F1536E"/>
    <w:rsid w:val="09F8752F"/>
    <w:rsid w:val="0A0D439F"/>
    <w:rsid w:val="0A0F0D09"/>
    <w:rsid w:val="0A1026E6"/>
    <w:rsid w:val="0A1D4600"/>
    <w:rsid w:val="0A1F68B2"/>
    <w:rsid w:val="0A210F95"/>
    <w:rsid w:val="0A275C51"/>
    <w:rsid w:val="0A2836E0"/>
    <w:rsid w:val="0A29194C"/>
    <w:rsid w:val="0A2C39C3"/>
    <w:rsid w:val="0A4F60F9"/>
    <w:rsid w:val="0A593073"/>
    <w:rsid w:val="0A8E5529"/>
    <w:rsid w:val="0AB44EF5"/>
    <w:rsid w:val="0AC159A6"/>
    <w:rsid w:val="0AE34BB1"/>
    <w:rsid w:val="0AEA2F37"/>
    <w:rsid w:val="0AED0B6E"/>
    <w:rsid w:val="0B16461C"/>
    <w:rsid w:val="0B2A4738"/>
    <w:rsid w:val="0B3066BC"/>
    <w:rsid w:val="0B4B7099"/>
    <w:rsid w:val="0B67084B"/>
    <w:rsid w:val="0B747542"/>
    <w:rsid w:val="0B7C7FE2"/>
    <w:rsid w:val="0B9C3825"/>
    <w:rsid w:val="0B9E1A60"/>
    <w:rsid w:val="0BAD70EA"/>
    <w:rsid w:val="0BBC2354"/>
    <w:rsid w:val="0BE60C5C"/>
    <w:rsid w:val="0BE64446"/>
    <w:rsid w:val="0C1851ED"/>
    <w:rsid w:val="0C296CAE"/>
    <w:rsid w:val="0C326267"/>
    <w:rsid w:val="0C344DB1"/>
    <w:rsid w:val="0C365370"/>
    <w:rsid w:val="0C42368E"/>
    <w:rsid w:val="0C442C80"/>
    <w:rsid w:val="0C4B30F1"/>
    <w:rsid w:val="0C5D71EC"/>
    <w:rsid w:val="0C7376A8"/>
    <w:rsid w:val="0C801F53"/>
    <w:rsid w:val="0C8076E1"/>
    <w:rsid w:val="0CA97841"/>
    <w:rsid w:val="0CC954FA"/>
    <w:rsid w:val="0CCA3020"/>
    <w:rsid w:val="0CF15084"/>
    <w:rsid w:val="0CF22F65"/>
    <w:rsid w:val="0CFD3771"/>
    <w:rsid w:val="0D001BEA"/>
    <w:rsid w:val="0D0A7F77"/>
    <w:rsid w:val="0D1E30E5"/>
    <w:rsid w:val="0D3A6B01"/>
    <w:rsid w:val="0D441024"/>
    <w:rsid w:val="0D4945E7"/>
    <w:rsid w:val="0D4D0748"/>
    <w:rsid w:val="0D4D2094"/>
    <w:rsid w:val="0D5F5515"/>
    <w:rsid w:val="0D61544F"/>
    <w:rsid w:val="0D7E3520"/>
    <w:rsid w:val="0D8943DC"/>
    <w:rsid w:val="0D8A04E4"/>
    <w:rsid w:val="0D932BB8"/>
    <w:rsid w:val="0D98461B"/>
    <w:rsid w:val="0DB3410A"/>
    <w:rsid w:val="0DB904D9"/>
    <w:rsid w:val="0DBB0918"/>
    <w:rsid w:val="0DE25782"/>
    <w:rsid w:val="0DEC6468"/>
    <w:rsid w:val="0DEE271A"/>
    <w:rsid w:val="0DF148E8"/>
    <w:rsid w:val="0E210D90"/>
    <w:rsid w:val="0E280BF1"/>
    <w:rsid w:val="0E2A2732"/>
    <w:rsid w:val="0E2F7B01"/>
    <w:rsid w:val="0E39328B"/>
    <w:rsid w:val="0E4B5699"/>
    <w:rsid w:val="0E512E80"/>
    <w:rsid w:val="0E6E1A32"/>
    <w:rsid w:val="0E7F25F5"/>
    <w:rsid w:val="0E915BD0"/>
    <w:rsid w:val="0E9E4C84"/>
    <w:rsid w:val="0EAA5D5A"/>
    <w:rsid w:val="0EB36461"/>
    <w:rsid w:val="0EB74D33"/>
    <w:rsid w:val="0ECD4128"/>
    <w:rsid w:val="0ED71A24"/>
    <w:rsid w:val="0EDC0ACC"/>
    <w:rsid w:val="0EE15926"/>
    <w:rsid w:val="0EEA08A5"/>
    <w:rsid w:val="0EF05635"/>
    <w:rsid w:val="0EFD76DC"/>
    <w:rsid w:val="0EFD7A26"/>
    <w:rsid w:val="0F0913A4"/>
    <w:rsid w:val="0F0F6F17"/>
    <w:rsid w:val="0F106462"/>
    <w:rsid w:val="0F154AD4"/>
    <w:rsid w:val="0F360DD3"/>
    <w:rsid w:val="0F6B1793"/>
    <w:rsid w:val="0F7B5DFB"/>
    <w:rsid w:val="0F7E0891"/>
    <w:rsid w:val="0F9A0919"/>
    <w:rsid w:val="0FB43951"/>
    <w:rsid w:val="0FDC19E8"/>
    <w:rsid w:val="0FDE576D"/>
    <w:rsid w:val="0FEF171B"/>
    <w:rsid w:val="0FF00A2B"/>
    <w:rsid w:val="0FF37EF3"/>
    <w:rsid w:val="0FFE4C46"/>
    <w:rsid w:val="10064480"/>
    <w:rsid w:val="10090E16"/>
    <w:rsid w:val="100930B7"/>
    <w:rsid w:val="1010417D"/>
    <w:rsid w:val="10156FD1"/>
    <w:rsid w:val="10194746"/>
    <w:rsid w:val="10371F2F"/>
    <w:rsid w:val="104D07C3"/>
    <w:rsid w:val="105A6D80"/>
    <w:rsid w:val="105F0FA1"/>
    <w:rsid w:val="1073353A"/>
    <w:rsid w:val="10750971"/>
    <w:rsid w:val="107B23CF"/>
    <w:rsid w:val="107E1871"/>
    <w:rsid w:val="1081433D"/>
    <w:rsid w:val="10824E25"/>
    <w:rsid w:val="10A10E2A"/>
    <w:rsid w:val="10B71B72"/>
    <w:rsid w:val="10BD5626"/>
    <w:rsid w:val="10C85301"/>
    <w:rsid w:val="10D423B5"/>
    <w:rsid w:val="10F5099F"/>
    <w:rsid w:val="11046680"/>
    <w:rsid w:val="1131772B"/>
    <w:rsid w:val="11423CF0"/>
    <w:rsid w:val="1159255C"/>
    <w:rsid w:val="115D038D"/>
    <w:rsid w:val="116741A8"/>
    <w:rsid w:val="11703F39"/>
    <w:rsid w:val="11786E2E"/>
    <w:rsid w:val="11887A9E"/>
    <w:rsid w:val="1189034F"/>
    <w:rsid w:val="119E030F"/>
    <w:rsid w:val="11A622AD"/>
    <w:rsid w:val="11AC3296"/>
    <w:rsid w:val="11BF3764"/>
    <w:rsid w:val="11BF5D6D"/>
    <w:rsid w:val="11E42DD6"/>
    <w:rsid w:val="11EF6486"/>
    <w:rsid w:val="11F33019"/>
    <w:rsid w:val="11F75962"/>
    <w:rsid w:val="11FC0451"/>
    <w:rsid w:val="120C4EB8"/>
    <w:rsid w:val="12241424"/>
    <w:rsid w:val="122D760A"/>
    <w:rsid w:val="12311F5A"/>
    <w:rsid w:val="12396EDB"/>
    <w:rsid w:val="12406C58"/>
    <w:rsid w:val="12425364"/>
    <w:rsid w:val="12427601"/>
    <w:rsid w:val="125944FB"/>
    <w:rsid w:val="12624EB7"/>
    <w:rsid w:val="126A32DB"/>
    <w:rsid w:val="1282388F"/>
    <w:rsid w:val="128572E6"/>
    <w:rsid w:val="128A0F8B"/>
    <w:rsid w:val="128D6FC9"/>
    <w:rsid w:val="129139EE"/>
    <w:rsid w:val="12B26461"/>
    <w:rsid w:val="12B37EBC"/>
    <w:rsid w:val="12BF6F7B"/>
    <w:rsid w:val="12D228CA"/>
    <w:rsid w:val="12D442DB"/>
    <w:rsid w:val="12D546F4"/>
    <w:rsid w:val="12DF6E63"/>
    <w:rsid w:val="12E15CFF"/>
    <w:rsid w:val="12F36759"/>
    <w:rsid w:val="12FE2032"/>
    <w:rsid w:val="1300045E"/>
    <w:rsid w:val="130A6921"/>
    <w:rsid w:val="131E269C"/>
    <w:rsid w:val="131E73CE"/>
    <w:rsid w:val="13201BEB"/>
    <w:rsid w:val="132563E3"/>
    <w:rsid w:val="13312AE3"/>
    <w:rsid w:val="133D024F"/>
    <w:rsid w:val="133D2E4A"/>
    <w:rsid w:val="133D6D87"/>
    <w:rsid w:val="134421CA"/>
    <w:rsid w:val="136A4918"/>
    <w:rsid w:val="13716BB4"/>
    <w:rsid w:val="13821EE1"/>
    <w:rsid w:val="13890B9C"/>
    <w:rsid w:val="13944D7F"/>
    <w:rsid w:val="13CB4137"/>
    <w:rsid w:val="13D11AEC"/>
    <w:rsid w:val="13F27FD8"/>
    <w:rsid w:val="13FA3C10"/>
    <w:rsid w:val="14197590"/>
    <w:rsid w:val="141C7AF8"/>
    <w:rsid w:val="142D5867"/>
    <w:rsid w:val="14311C3C"/>
    <w:rsid w:val="14553B17"/>
    <w:rsid w:val="145A6A37"/>
    <w:rsid w:val="145F6B34"/>
    <w:rsid w:val="14694BDF"/>
    <w:rsid w:val="14823CB2"/>
    <w:rsid w:val="14A05CEA"/>
    <w:rsid w:val="14B27425"/>
    <w:rsid w:val="14BA7BD0"/>
    <w:rsid w:val="14BE0DA8"/>
    <w:rsid w:val="14BF4435"/>
    <w:rsid w:val="14BF76D0"/>
    <w:rsid w:val="14CA0061"/>
    <w:rsid w:val="14CD5299"/>
    <w:rsid w:val="14D058B3"/>
    <w:rsid w:val="14DF2DE8"/>
    <w:rsid w:val="14E20E88"/>
    <w:rsid w:val="14E60C13"/>
    <w:rsid w:val="14E71B9C"/>
    <w:rsid w:val="14ED24C4"/>
    <w:rsid w:val="14FE6E45"/>
    <w:rsid w:val="15001ED4"/>
    <w:rsid w:val="15004976"/>
    <w:rsid w:val="15030DD2"/>
    <w:rsid w:val="150660C7"/>
    <w:rsid w:val="151246C1"/>
    <w:rsid w:val="152F6F01"/>
    <w:rsid w:val="15300534"/>
    <w:rsid w:val="1542409B"/>
    <w:rsid w:val="15430081"/>
    <w:rsid w:val="1549179A"/>
    <w:rsid w:val="154A2F50"/>
    <w:rsid w:val="155855A0"/>
    <w:rsid w:val="155958EF"/>
    <w:rsid w:val="15760A82"/>
    <w:rsid w:val="15885993"/>
    <w:rsid w:val="158A38FE"/>
    <w:rsid w:val="15943580"/>
    <w:rsid w:val="159E744E"/>
    <w:rsid w:val="159F71E4"/>
    <w:rsid w:val="15BFE41D"/>
    <w:rsid w:val="15DA54BE"/>
    <w:rsid w:val="15DE1A29"/>
    <w:rsid w:val="15E07A9A"/>
    <w:rsid w:val="1600559A"/>
    <w:rsid w:val="1615492F"/>
    <w:rsid w:val="16211C47"/>
    <w:rsid w:val="162C07E1"/>
    <w:rsid w:val="167504A0"/>
    <w:rsid w:val="1684385C"/>
    <w:rsid w:val="16883ABF"/>
    <w:rsid w:val="16945039"/>
    <w:rsid w:val="16A51196"/>
    <w:rsid w:val="16AA3EEF"/>
    <w:rsid w:val="16AB534D"/>
    <w:rsid w:val="16BB65F1"/>
    <w:rsid w:val="16BE59A3"/>
    <w:rsid w:val="16C30E50"/>
    <w:rsid w:val="16C6306C"/>
    <w:rsid w:val="16DA045E"/>
    <w:rsid w:val="16DF70C3"/>
    <w:rsid w:val="16E36A8E"/>
    <w:rsid w:val="16EF0253"/>
    <w:rsid w:val="16EF355C"/>
    <w:rsid w:val="170F5918"/>
    <w:rsid w:val="17174321"/>
    <w:rsid w:val="171B4C60"/>
    <w:rsid w:val="17382C6C"/>
    <w:rsid w:val="173D57C7"/>
    <w:rsid w:val="17936E30"/>
    <w:rsid w:val="179D7CAF"/>
    <w:rsid w:val="17B2733D"/>
    <w:rsid w:val="17D32110"/>
    <w:rsid w:val="17EF333D"/>
    <w:rsid w:val="17F736BA"/>
    <w:rsid w:val="17F83F41"/>
    <w:rsid w:val="17FE4C9B"/>
    <w:rsid w:val="180B1C8C"/>
    <w:rsid w:val="182A0E16"/>
    <w:rsid w:val="185331C0"/>
    <w:rsid w:val="1856228A"/>
    <w:rsid w:val="185A2304"/>
    <w:rsid w:val="18655549"/>
    <w:rsid w:val="18811B0F"/>
    <w:rsid w:val="18883C96"/>
    <w:rsid w:val="18943D05"/>
    <w:rsid w:val="189D5730"/>
    <w:rsid w:val="18AE6BDF"/>
    <w:rsid w:val="18BC41FE"/>
    <w:rsid w:val="18CE406A"/>
    <w:rsid w:val="18D255E8"/>
    <w:rsid w:val="18E73115"/>
    <w:rsid w:val="18EF453A"/>
    <w:rsid w:val="18FE51C3"/>
    <w:rsid w:val="190A6030"/>
    <w:rsid w:val="191206D3"/>
    <w:rsid w:val="192E2BD3"/>
    <w:rsid w:val="193470ED"/>
    <w:rsid w:val="19362545"/>
    <w:rsid w:val="194132D7"/>
    <w:rsid w:val="195C14A3"/>
    <w:rsid w:val="19756CCC"/>
    <w:rsid w:val="197B5636"/>
    <w:rsid w:val="197F7538"/>
    <w:rsid w:val="1987149D"/>
    <w:rsid w:val="198D30EC"/>
    <w:rsid w:val="199777B1"/>
    <w:rsid w:val="199C34C0"/>
    <w:rsid w:val="19A5109C"/>
    <w:rsid w:val="19AB7BCA"/>
    <w:rsid w:val="19D74089"/>
    <w:rsid w:val="1A191E67"/>
    <w:rsid w:val="1A1D2006"/>
    <w:rsid w:val="1A200C49"/>
    <w:rsid w:val="1A2C7C12"/>
    <w:rsid w:val="1A2F5564"/>
    <w:rsid w:val="1A382E26"/>
    <w:rsid w:val="1A3A2210"/>
    <w:rsid w:val="1A526576"/>
    <w:rsid w:val="1A5C16D9"/>
    <w:rsid w:val="1A5C6D63"/>
    <w:rsid w:val="1A604AA4"/>
    <w:rsid w:val="1A7636B6"/>
    <w:rsid w:val="1A7B17BE"/>
    <w:rsid w:val="1A8B4F58"/>
    <w:rsid w:val="1A907657"/>
    <w:rsid w:val="1AE133EF"/>
    <w:rsid w:val="1AEF4DAE"/>
    <w:rsid w:val="1AF77FAB"/>
    <w:rsid w:val="1AFB020E"/>
    <w:rsid w:val="1B135E1C"/>
    <w:rsid w:val="1B474D4C"/>
    <w:rsid w:val="1B492FF3"/>
    <w:rsid w:val="1B4950A4"/>
    <w:rsid w:val="1B556620"/>
    <w:rsid w:val="1B636B19"/>
    <w:rsid w:val="1B690B70"/>
    <w:rsid w:val="1B8A22F8"/>
    <w:rsid w:val="1BA324C2"/>
    <w:rsid w:val="1BA61267"/>
    <w:rsid w:val="1BAF2B44"/>
    <w:rsid w:val="1BF105C9"/>
    <w:rsid w:val="1C110922"/>
    <w:rsid w:val="1C19082C"/>
    <w:rsid w:val="1C213F72"/>
    <w:rsid w:val="1C246759"/>
    <w:rsid w:val="1C2663BF"/>
    <w:rsid w:val="1C36433C"/>
    <w:rsid w:val="1C376E21"/>
    <w:rsid w:val="1C3B1844"/>
    <w:rsid w:val="1C495776"/>
    <w:rsid w:val="1C607E4F"/>
    <w:rsid w:val="1C7177E1"/>
    <w:rsid w:val="1C721035"/>
    <w:rsid w:val="1C887DF5"/>
    <w:rsid w:val="1C89288A"/>
    <w:rsid w:val="1CA47846"/>
    <w:rsid w:val="1CCB621E"/>
    <w:rsid w:val="1CD565D5"/>
    <w:rsid w:val="1CDF495F"/>
    <w:rsid w:val="1CDF6675"/>
    <w:rsid w:val="1CEF14EF"/>
    <w:rsid w:val="1CF061DA"/>
    <w:rsid w:val="1CF43006"/>
    <w:rsid w:val="1D032FA4"/>
    <w:rsid w:val="1D077570"/>
    <w:rsid w:val="1D0E51AB"/>
    <w:rsid w:val="1D3021C0"/>
    <w:rsid w:val="1D325942"/>
    <w:rsid w:val="1D3F56BB"/>
    <w:rsid w:val="1D4C37A3"/>
    <w:rsid w:val="1D672B1F"/>
    <w:rsid w:val="1D8B3670"/>
    <w:rsid w:val="1DA35BF9"/>
    <w:rsid w:val="1DA73124"/>
    <w:rsid w:val="1DAE0556"/>
    <w:rsid w:val="1DB1270C"/>
    <w:rsid w:val="1DB67C12"/>
    <w:rsid w:val="1DD50B1E"/>
    <w:rsid w:val="1DEE0182"/>
    <w:rsid w:val="1DFFC4A4"/>
    <w:rsid w:val="1E060554"/>
    <w:rsid w:val="1E0F6E32"/>
    <w:rsid w:val="1E1C064C"/>
    <w:rsid w:val="1E415560"/>
    <w:rsid w:val="1E5D18EA"/>
    <w:rsid w:val="1E604A81"/>
    <w:rsid w:val="1E706AC5"/>
    <w:rsid w:val="1E706D9C"/>
    <w:rsid w:val="1E7B503A"/>
    <w:rsid w:val="1E841A5F"/>
    <w:rsid w:val="1E884867"/>
    <w:rsid w:val="1E98379C"/>
    <w:rsid w:val="1E9B4962"/>
    <w:rsid w:val="1EA13BAC"/>
    <w:rsid w:val="1EA33881"/>
    <w:rsid w:val="1EA40105"/>
    <w:rsid w:val="1EA972F9"/>
    <w:rsid w:val="1EBC7CC4"/>
    <w:rsid w:val="1EC665E8"/>
    <w:rsid w:val="1ED4373A"/>
    <w:rsid w:val="1ED708EA"/>
    <w:rsid w:val="1EDC6093"/>
    <w:rsid w:val="1EFC0360"/>
    <w:rsid w:val="1EFF0990"/>
    <w:rsid w:val="1F091197"/>
    <w:rsid w:val="1F2A343A"/>
    <w:rsid w:val="1F330EF8"/>
    <w:rsid w:val="1F3868D2"/>
    <w:rsid w:val="1F3D4BD0"/>
    <w:rsid w:val="1F454E01"/>
    <w:rsid w:val="1F494278"/>
    <w:rsid w:val="1F524DE1"/>
    <w:rsid w:val="1F564138"/>
    <w:rsid w:val="1F583D4C"/>
    <w:rsid w:val="1F69585D"/>
    <w:rsid w:val="1F6B38B0"/>
    <w:rsid w:val="1F6D067C"/>
    <w:rsid w:val="1F770DE5"/>
    <w:rsid w:val="1F966A87"/>
    <w:rsid w:val="1FAD4807"/>
    <w:rsid w:val="1FBF278C"/>
    <w:rsid w:val="1FD0749B"/>
    <w:rsid w:val="1FE35ADC"/>
    <w:rsid w:val="1FF05470"/>
    <w:rsid w:val="1FF95F99"/>
    <w:rsid w:val="201503A6"/>
    <w:rsid w:val="203A5250"/>
    <w:rsid w:val="203A5CDB"/>
    <w:rsid w:val="20497C75"/>
    <w:rsid w:val="204F1C56"/>
    <w:rsid w:val="204F514C"/>
    <w:rsid w:val="205B41D9"/>
    <w:rsid w:val="206823A1"/>
    <w:rsid w:val="207A43DF"/>
    <w:rsid w:val="207B12D7"/>
    <w:rsid w:val="207F6629"/>
    <w:rsid w:val="208539D6"/>
    <w:rsid w:val="209464F1"/>
    <w:rsid w:val="209B222F"/>
    <w:rsid w:val="20A61DD6"/>
    <w:rsid w:val="20B24112"/>
    <w:rsid w:val="20CB4F5C"/>
    <w:rsid w:val="20D0522C"/>
    <w:rsid w:val="20D858B3"/>
    <w:rsid w:val="20D91DD8"/>
    <w:rsid w:val="20DD5762"/>
    <w:rsid w:val="20EE43F2"/>
    <w:rsid w:val="20F301B2"/>
    <w:rsid w:val="20F716A2"/>
    <w:rsid w:val="20F903BB"/>
    <w:rsid w:val="21011A51"/>
    <w:rsid w:val="21096B24"/>
    <w:rsid w:val="210B25F8"/>
    <w:rsid w:val="210B2A97"/>
    <w:rsid w:val="211A14DF"/>
    <w:rsid w:val="211E2099"/>
    <w:rsid w:val="2123675E"/>
    <w:rsid w:val="2149055F"/>
    <w:rsid w:val="21637A27"/>
    <w:rsid w:val="216C08BA"/>
    <w:rsid w:val="2177570A"/>
    <w:rsid w:val="21A56596"/>
    <w:rsid w:val="21A665AD"/>
    <w:rsid w:val="21AB33D9"/>
    <w:rsid w:val="21B33C19"/>
    <w:rsid w:val="21BB34D8"/>
    <w:rsid w:val="21C44C50"/>
    <w:rsid w:val="21D722C1"/>
    <w:rsid w:val="21DE2907"/>
    <w:rsid w:val="21DF24FF"/>
    <w:rsid w:val="21F82FB6"/>
    <w:rsid w:val="22136A87"/>
    <w:rsid w:val="221F3C59"/>
    <w:rsid w:val="222C0C93"/>
    <w:rsid w:val="224029DA"/>
    <w:rsid w:val="224B3D5F"/>
    <w:rsid w:val="2258252F"/>
    <w:rsid w:val="225E4F1E"/>
    <w:rsid w:val="226B21EE"/>
    <w:rsid w:val="228B5121"/>
    <w:rsid w:val="228F63A9"/>
    <w:rsid w:val="22925BC2"/>
    <w:rsid w:val="229323DA"/>
    <w:rsid w:val="22A177E6"/>
    <w:rsid w:val="22A90AC1"/>
    <w:rsid w:val="22AC0A58"/>
    <w:rsid w:val="22BD5CB7"/>
    <w:rsid w:val="22E6677E"/>
    <w:rsid w:val="22EC30DA"/>
    <w:rsid w:val="22ED0E76"/>
    <w:rsid w:val="2307412C"/>
    <w:rsid w:val="23077707"/>
    <w:rsid w:val="23103715"/>
    <w:rsid w:val="231D3794"/>
    <w:rsid w:val="233236E3"/>
    <w:rsid w:val="23372A9F"/>
    <w:rsid w:val="233B768D"/>
    <w:rsid w:val="233E456B"/>
    <w:rsid w:val="2346752C"/>
    <w:rsid w:val="23500324"/>
    <w:rsid w:val="23585DD8"/>
    <w:rsid w:val="235B4AD3"/>
    <w:rsid w:val="23745CDE"/>
    <w:rsid w:val="23767606"/>
    <w:rsid w:val="237D05D8"/>
    <w:rsid w:val="239B1C02"/>
    <w:rsid w:val="23A50FD0"/>
    <w:rsid w:val="23A62FCA"/>
    <w:rsid w:val="23A775C6"/>
    <w:rsid w:val="23AB3963"/>
    <w:rsid w:val="23BA793E"/>
    <w:rsid w:val="23BC4648"/>
    <w:rsid w:val="23C71178"/>
    <w:rsid w:val="23CB43ED"/>
    <w:rsid w:val="23D17044"/>
    <w:rsid w:val="23D172B3"/>
    <w:rsid w:val="23DA7B95"/>
    <w:rsid w:val="23E40684"/>
    <w:rsid w:val="23F23381"/>
    <w:rsid w:val="240115C5"/>
    <w:rsid w:val="2411563C"/>
    <w:rsid w:val="2423778D"/>
    <w:rsid w:val="242447AF"/>
    <w:rsid w:val="24334C53"/>
    <w:rsid w:val="24486FE6"/>
    <w:rsid w:val="24771FAD"/>
    <w:rsid w:val="247E49C4"/>
    <w:rsid w:val="24AB0389"/>
    <w:rsid w:val="24D055DB"/>
    <w:rsid w:val="24D75451"/>
    <w:rsid w:val="24DC47FF"/>
    <w:rsid w:val="24E345E4"/>
    <w:rsid w:val="24E41AC1"/>
    <w:rsid w:val="24EE12D8"/>
    <w:rsid w:val="24F31D24"/>
    <w:rsid w:val="24FB0E3B"/>
    <w:rsid w:val="25005256"/>
    <w:rsid w:val="250439EF"/>
    <w:rsid w:val="250A219B"/>
    <w:rsid w:val="250F386E"/>
    <w:rsid w:val="251675CC"/>
    <w:rsid w:val="251D6849"/>
    <w:rsid w:val="2557729C"/>
    <w:rsid w:val="255A6A4F"/>
    <w:rsid w:val="25632231"/>
    <w:rsid w:val="257239B5"/>
    <w:rsid w:val="257A3E03"/>
    <w:rsid w:val="258C3DF5"/>
    <w:rsid w:val="25967F64"/>
    <w:rsid w:val="25AE12D9"/>
    <w:rsid w:val="25B132E6"/>
    <w:rsid w:val="25E1786F"/>
    <w:rsid w:val="25EB11E1"/>
    <w:rsid w:val="25F13423"/>
    <w:rsid w:val="25F252DE"/>
    <w:rsid w:val="25F453F1"/>
    <w:rsid w:val="25F574EA"/>
    <w:rsid w:val="260104CB"/>
    <w:rsid w:val="26055266"/>
    <w:rsid w:val="260B280F"/>
    <w:rsid w:val="260E417C"/>
    <w:rsid w:val="26327CD9"/>
    <w:rsid w:val="263406F7"/>
    <w:rsid w:val="263F3EBB"/>
    <w:rsid w:val="26633C49"/>
    <w:rsid w:val="266E1364"/>
    <w:rsid w:val="268A4949"/>
    <w:rsid w:val="268E2249"/>
    <w:rsid w:val="2697027E"/>
    <w:rsid w:val="26A67D94"/>
    <w:rsid w:val="26AF355A"/>
    <w:rsid w:val="26B446CD"/>
    <w:rsid w:val="26B97F35"/>
    <w:rsid w:val="26BA4AE0"/>
    <w:rsid w:val="26C31A8B"/>
    <w:rsid w:val="26C52C94"/>
    <w:rsid w:val="26C610CA"/>
    <w:rsid w:val="26C9037E"/>
    <w:rsid w:val="26CC0E4C"/>
    <w:rsid w:val="26D96963"/>
    <w:rsid w:val="26E51871"/>
    <w:rsid w:val="26E66850"/>
    <w:rsid w:val="26EC2D0B"/>
    <w:rsid w:val="26EC52C4"/>
    <w:rsid w:val="26FD1062"/>
    <w:rsid w:val="27147861"/>
    <w:rsid w:val="271D527A"/>
    <w:rsid w:val="27224B0F"/>
    <w:rsid w:val="272F1E9F"/>
    <w:rsid w:val="27337CE7"/>
    <w:rsid w:val="273C1105"/>
    <w:rsid w:val="274E1A68"/>
    <w:rsid w:val="2764417B"/>
    <w:rsid w:val="2766129B"/>
    <w:rsid w:val="27795A37"/>
    <w:rsid w:val="278476CC"/>
    <w:rsid w:val="27851DA0"/>
    <w:rsid w:val="27A00706"/>
    <w:rsid w:val="27C617D8"/>
    <w:rsid w:val="27E81FE7"/>
    <w:rsid w:val="27EE3C0E"/>
    <w:rsid w:val="27EE40EE"/>
    <w:rsid w:val="27F52314"/>
    <w:rsid w:val="27F710A0"/>
    <w:rsid w:val="28252233"/>
    <w:rsid w:val="282C5A6C"/>
    <w:rsid w:val="282E0D0A"/>
    <w:rsid w:val="283659E1"/>
    <w:rsid w:val="284737DD"/>
    <w:rsid w:val="284F7247"/>
    <w:rsid w:val="28504F00"/>
    <w:rsid w:val="285401B9"/>
    <w:rsid w:val="2854115A"/>
    <w:rsid w:val="285D758C"/>
    <w:rsid w:val="286744CD"/>
    <w:rsid w:val="28677614"/>
    <w:rsid w:val="28774B99"/>
    <w:rsid w:val="287B2854"/>
    <w:rsid w:val="2887096F"/>
    <w:rsid w:val="28891A68"/>
    <w:rsid w:val="28A67723"/>
    <w:rsid w:val="28AD23F4"/>
    <w:rsid w:val="28B0142C"/>
    <w:rsid w:val="28B031C4"/>
    <w:rsid w:val="28B63970"/>
    <w:rsid w:val="28B813D8"/>
    <w:rsid w:val="28BE5DFF"/>
    <w:rsid w:val="28C05393"/>
    <w:rsid w:val="28C15F16"/>
    <w:rsid w:val="28C7203E"/>
    <w:rsid w:val="28C8217E"/>
    <w:rsid w:val="28D13A25"/>
    <w:rsid w:val="28E23AA6"/>
    <w:rsid w:val="28F53BE0"/>
    <w:rsid w:val="29053906"/>
    <w:rsid w:val="29053946"/>
    <w:rsid w:val="291433AE"/>
    <w:rsid w:val="291B15FB"/>
    <w:rsid w:val="292274D8"/>
    <w:rsid w:val="29291F9C"/>
    <w:rsid w:val="29432A42"/>
    <w:rsid w:val="29490B9E"/>
    <w:rsid w:val="294F62D4"/>
    <w:rsid w:val="29755B40"/>
    <w:rsid w:val="2976043F"/>
    <w:rsid w:val="297B3FB9"/>
    <w:rsid w:val="29834CA6"/>
    <w:rsid w:val="298429E5"/>
    <w:rsid w:val="298A40CB"/>
    <w:rsid w:val="29995F92"/>
    <w:rsid w:val="29AA7F26"/>
    <w:rsid w:val="29AB6C0F"/>
    <w:rsid w:val="29D250A3"/>
    <w:rsid w:val="29D97152"/>
    <w:rsid w:val="29E346EC"/>
    <w:rsid w:val="29E37561"/>
    <w:rsid w:val="29EA6773"/>
    <w:rsid w:val="29EC6874"/>
    <w:rsid w:val="29ED4A29"/>
    <w:rsid w:val="29F9147A"/>
    <w:rsid w:val="2A2622F9"/>
    <w:rsid w:val="2A2E7A7E"/>
    <w:rsid w:val="2A313BB1"/>
    <w:rsid w:val="2A413BB3"/>
    <w:rsid w:val="2A4425E4"/>
    <w:rsid w:val="2A4735A8"/>
    <w:rsid w:val="2A504FA9"/>
    <w:rsid w:val="2A5D63DB"/>
    <w:rsid w:val="2A5F40B6"/>
    <w:rsid w:val="2A72308A"/>
    <w:rsid w:val="2A7939ED"/>
    <w:rsid w:val="2A8A0D83"/>
    <w:rsid w:val="2AB557DB"/>
    <w:rsid w:val="2AC34A37"/>
    <w:rsid w:val="2ADB2B81"/>
    <w:rsid w:val="2B1A174A"/>
    <w:rsid w:val="2B1C4F36"/>
    <w:rsid w:val="2B200583"/>
    <w:rsid w:val="2B2141F9"/>
    <w:rsid w:val="2B332625"/>
    <w:rsid w:val="2B361A30"/>
    <w:rsid w:val="2B3C079E"/>
    <w:rsid w:val="2B3C1E41"/>
    <w:rsid w:val="2B565E56"/>
    <w:rsid w:val="2B653518"/>
    <w:rsid w:val="2B7865F9"/>
    <w:rsid w:val="2B7A3C52"/>
    <w:rsid w:val="2B8C374E"/>
    <w:rsid w:val="2B8C5C18"/>
    <w:rsid w:val="2B8F46B6"/>
    <w:rsid w:val="2B991DFF"/>
    <w:rsid w:val="2BF24C23"/>
    <w:rsid w:val="2BFC6B25"/>
    <w:rsid w:val="2C300C99"/>
    <w:rsid w:val="2C421FD2"/>
    <w:rsid w:val="2C436E5C"/>
    <w:rsid w:val="2C66510D"/>
    <w:rsid w:val="2C665638"/>
    <w:rsid w:val="2C6B4093"/>
    <w:rsid w:val="2C997AF3"/>
    <w:rsid w:val="2C997CDE"/>
    <w:rsid w:val="2C9E14E5"/>
    <w:rsid w:val="2CB84C7B"/>
    <w:rsid w:val="2CCF1D5F"/>
    <w:rsid w:val="2CCF1ECB"/>
    <w:rsid w:val="2CD25FF8"/>
    <w:rsid w:val="2CD71115"/>
    <w:rsid w:val="2CE27DFB"/>
    <w:rsid w:val="2CE3244C"/>
    <w:rsid w:val="2CF30852"/>
    <w:rsid w:val="2CF3392B"/>
    <w:rsid w:val="2D0B78AE"/>
    <w:rsid w:val="2D1142CB"/>
    <w:rsid w:val="2D1A734B"/>
    <w:rsid w:val="2D377655"/>
    <w:rsid w:val="2D403484"/>
    <w:rsid w:val="2D483AF4"/>
    <w:rsid w:val="2D651E34"/>
    <w:rsid w:val="2D664FB1"/>
    <w:rsid w:val="2D6F1178"/>
    <w:rsid w:val="2D895AB3"/>
    <w:rsid w:val="2D9147ED"/>
    <w:rsid w:val="2DAB5DC1"/>
    <w:rsid w:val="2DB31B82"/>
    <w:rsid w:val="2DCF6FB5"/>
    <w:rsid w:val="2DD05EF0"/>
    <w:rsid w:val="2DE03F4E"/>
    <w:rsid w:val="2DE51610"/>
    <w:rsid w:val="2DEC5D5C"/>
    <w:rsid w:val="2DED5CC6"/>
    <w:rsid w:val="2DF14475"/>
    <w:rsid w:val="2DF83CAE"/>
    <w:rsid w:val="2DFF1503"/>
    <w:rsid w:val="2E1036F7"/>
    <w:rsid w:val="2E270F76"/>
    <w:rsid w:val="2E290D16"/>
    <w:rsid w:val="2E2D2691"/>
    <w:rsid w:val="2E2F76FC"/>
    <w:rsid w:val="2E36642A"/>
    <w:rsid w:val="2E3A56A0"/>
    <w:rsid w:val="2E3B3187"/>
    <w:rsid w:val="2E422DCC"/>
    <w:rsid w:val="2E427B73"/>
    <w:rsid w:val="2E467C06"/>
    <w:rsid w:val="2E642E7C"/>
    <w:rsid w:val="2E754540"/>
    <w:rsid w:val="2E767F3F"/>
    <w:rsid w:val="2E7C5342"/>
    <w:rsid w:val="2E864E06"/>
    <w:rsid w:val="2E905186"/>
    <w:rsid w:val="2E9F5029"/>
    <w:rsid w:val="2EAF6BF3"/>
    <w:rsid w:val="2ED2330B"/>
    <w:rsid w:val="2ED34F37"/>
    <w:rsid w:val="2ED4221C"/>
    <w:rsid w:val="2EDA622A"/>
    <w:rsid w:val="2EDC447A"/>
    <w:rsid w:val="2EE5733A"/>
    <w:rsid w:val="2EEB6F16"/>
    <w:rsid w:val="2EEE11AC"/>
    <w:rsid w:val="2EFE35E8"/>
    <w:rsid w:val="2F0B779C"/>
    <w:rsid w:val="2F0D74C9"/>
    <w:rsid w:val="2F1156AC"/>
    <w:rsid w:val="2F315682"/>
    <w:rsid w:val="2F35626A"/>
    <w:rsid w:val="2F367926"/>
    <w:rsid w:val="2F416D1A"/>
    <w:rsid w:val="2F4D0971"/>
    <w:rsid w:val="2F4E6128"/>
    <w:rsid w:val="2F50648D"/>
    <w:rsid w:val="2F593497"/>
    <w:rsid w:val="2F723875"/>
    <w:rsid w:val="2F80221D"/>
    <w:rsid w:val="2F8673B3"/>
    <w:rsid w:val="2F963160"/>
    <w:rsid w:val="2F9F78B1"/>
    <w:rsid w:val="2FA6202F"/>
    <w:rsid w:val="2FB84C7B"/>
    <w:rsid w:val="2FBA6381"/>
    <w:rsid w:val="2FC1719C"/>
    <w:rsid w:val="2FC260AC"/>
    <w:rsid w:val="2FDA5341"/>
    <w:rsid w:val="2FDB47FA"/>
    <w:rsid w:val="300E6EAA"/>
    <w:rsid w:val="301D1535"/>
    <w:rsid w:val="303A70C4"/>
    <w:rsid w:val="303F08C7"/>
    <w:rsid w:val="30412492"/>
    <w:rsid w:val="304704C5"/>
    <w:rsid w:val="304765B2"/>
    <w:rsid w:val="30615FED"/>
    <w:rsid w:val="309713C6"/>
    <w:rsid w:val="309D2676"/>
    <w:rsid w:val="30A232E4"/>
    <w:rsid w:val="30A772E8"/>
    <w:rsid w:val="30B26121"/>
    <w:rsid w:val="30C50C66"/>
    <w:rsid w:val="30D51E0F"/>
    <w:rsid w:val="30ED1711"/>
    <w:rsid w:val="31167200"/>
    <w:rsid w:val="311A10B7"/>
    <w:rsid w:val="312C69BA"/>
    <w:rsid w:val="31393DCB"/>
    <w:rsid w:val="315C42DF"/>
    <w:rsid w:val="3162183F"/>
    <w:rsid w:val="31636DC3"/>
    <w:rsid w:val="316A224B"/>
    <w:rsid w:val="316D2854"/>
    <w:rsid w:val="31712EBC"/>
    <w:rsid w:val="317465BC"/>
    <w:rsid w:val="31772AF1"/>
    <w:rsid w:val="317D5FB6"/>
    <w:rsid w:val="31886DD5"/>
    <w:rsid w:val="318A28BC"/>
    <w:rsid w:val="318B00D1"/>
    <w:rsid w:val="318C7F04"/>
    <w:rsid w:val="319677F1"/>
    <w:rsid w:val="319C5AA7"/>
    <w:rsid w:val="319F465C"/>
    <w:rsid w:val="31A43C7A"/>
    <w:rsid w:val="31B14463"/>
    <w:rsid w:val="31C32FA3"/>
    <w:rsid w:val="31C854D0"/>
    <w:rsid w:val="31CD468B"/>
    <w:rsid w:val="31D91BE1"/>
    <w:rsid w:val="31E60856"/>
    <w:rsid w:val="31EA35E8"/>
    <w:rsid w:val="31ED1F65"/>
    <w:rsid w:val="320E5A59"/>
    <w:rsid w:val="32221592"/>
    <w:rsid w:val="322C0610"/>
    <w:rsid w:val="322E1BFD"/>
    <w:rsid w:val="323A3E96"/>
    <w:rsid w:val="323E22F7"/>
    <w:rsid w:val="32413CD9"/>
    <w:rsid w:val="32496BD1"/>
    <w:rsid w:val="3272157A"/>
    <w:rsid w:val="327C20DC"/>
    <w:rsid w:val="32A02E1D"/>
    <w:rsid w:val="32A5173A"/>
    <w:rsid w:val="32BB148C"/>
    <w:rsid w:val="32BB6217"/>
    <w:rsid w:val="32C97752"/>
    <w:rsid w:val="32DC365B"/>
    <w:rsid w:val="32FA7BE1"/>
    <w:rsid w:val="32FB4F1E"/>
    <w:rsid w:val="33062754"/>
    <w:rsid w:val="330C763F"/>
    <w:rsid w:val="330D5C4B"/>
    <w:rsid w:val="33204932"/>
    <w:rsid w:val="33291ACF"/>
    <w:rsid w:val="332B4462"/>
    <w:rsid w:val="333D7CDA"/>
    <w:rsid w:val="3365548D"/>
    <w:rsid w:val="336C20F6"/>
    <w:rsid w:val="337D6DD6"/>
    <w:rsid w:val="3382645E"/>
    <w:rsid w:val="33890774"/>
    <w:rsid w:val="339670C9"/>
    <w:rsid w:val="339B1966"/>
    <w:rsid w:val="33A23507"/>
    <w:rsid w:val="33BB04D5"/>
    <w:rsid w:val="33C1178D"/>
    <w:rsid w:val="33CD5CBF"/>
    <w:rsid w:val="33CF6A93"/>
    <w:rsid w:val="33D36847"/>
    <w:rsid w:val="33D52CF0"/>
    <w:rsid w:val="33E3198C"/>
    <w:rsid w:val="33F300EC"/>
    <w:rsid w:val="33F352AE"/>
    <w:rsid w:val="34051282"/>
    <w:rsid w:val="341663D8"/>
    <w:rsid w:val="3417159A"/>
    <w:rsid w:val="34207846"/>
    <w:rsid w:val="3436681E"/>
    <w:rsid w:val="34454F45"/>
    <w:rsid w:val="34491953"/>
    <w:rsid w:val="344F1FA8"/>
    <w:rsid w:val="3456735A"/>
    <w:rsid w:val="345721E6"/>
    <w:rsid w:val="345DDDDA"/>
    <w:rsid w:val="34751483"/>
    <w:rsid w:val="34853B4C"/>
    <w:rsid w:val="3489757C"/>
    <w:rsid w:val="34B44B7E"/>
    <w:rsid w:val="34D10E5E"/>
    <w:rsid w:val="35006659"/>
    <w:rsid w:val="35044A71"/>
    <w:rsid w:val="35056F41"/>
    <w:rsid w:val="350A4AD0"/>
    <w:rsid w:val="350D19BB"/>
    <w:rsid w:val="350F0702"/>
    <w:rsid w:val="351400AA"/>
    <w:rsid w:val="351729F7"/>
    <w:rsid w:val="3518051D"/>
    <w:rsid w:val="35386C3E"/>
    <w:rsid w:val="354B3FDD"/>
    <w:rsid w:val="35537C83"/>
    <w:rsid w:val="35555759"/>
    <w:rsid w:val="35643762"/>
    <w:rsid w:val="35645360"/>
    <w:rsid w:val="356E7175"/>
    <w:rsid w:val="3572001E"/>
    <w:rsid w:val="358F4C83"/>
    <w:rsid w:val="35A873D1"/>
    <w:rsid w:val="35AB6533"/>
    <w:rsid w:val="35C76FEA"/>
    <w:rsid w:val="36057500"/>
    <w:rsid w:val="36172DAD"/>
    <w:rsid w:val="3621472B"/>
    <w:rsid w:val="36312097"/>
    <w:rsid w:val="363B2715"/>
    <w:rsid w:val="363C4382"/>
    <w:rsid w:val="36460B81"/>
    <w:rsid w:val="36495886"/>
    <w:rsid w:val="3656754F"/>
    <w:rsid w:val="36637A63"/>
    <w:rsid w:val="36767BF1"/>
    <w:rsid w:val="367F4F73"/>
    <w:rsid w:val="36A12AC7"/>
    <w:rsid w:val="36A83064"/>
    <w:rsid w:val="36D93CDC"/>
    <w:rsid w:val="36DF1B09"/>
    <w:rsid w:val="36F5558D"/>
    <w:rsid w:val="36FA75CB"/>
    <w:rsid w:val="36FB271C"/>
    <w:rsid w:val="36FE69CC"/>
    <w:rsid w:val="37077031"/>
    <w:rsid w:val="370A446C"/>
    <w:rsid w:val="37144D14"/>
    <w:rsid w:val="371521A7"/>
    <w:rsid w:val="37186290"/>
    <w:rsid w:val="371C0798"/>
    <w:rsid w:val="371F5514"/>
    <w:rsid w:val="37236D14"/>
    <w:rsid w:val="374A1271"/>
    <w:rsid w:val="376806DB"/>
    <w:rsid w:val="37696240"/>
    <w:rsid w:val="377A101B"/>
    <w:rsid w:val="37846EE5"/>
    <w:rsid w:val="379461DF"/>
    <w:rsid w:val="379C5527"/>
    <w:rsid w:val="379F25AA"/>
    <w:rsid w:val="37A20977"/>
    <w:rsid w:val="37AE28BD"/>
    <w:rsid w:val="37B7331B"/>
    <w:rsid w:val="37BE432D"/>
    <w:rsid w:val="37C0269B"/>
    <w:rsid w:val="37C20289"/>
    <w:rsid w:val="37C36E66"/>
    <w:rsid w:val="37CC113C"/>
    <w:rsid w:val="37CF73B3"/>
    <w:rsid w:val="37D15817"/>
    <w:rsid w:val="37DD3769"/>
    <w:rsid w:val="37FE4685"/>
    <w:rsid w:val="380D7FEB"/>
    <w:rsid w:val="382A0185"/>
    <w:rsid w:val="38316343"/>
    <w:rsid w:val="38540962"/>
    <w:rsid w:val="38547C0B"/>
    <w:rsid w:val="386862CF"/>
    <w:rsid w:val="38727B02"/>
    <w:rsid w:val="38812AD7"/>
    <w:rsid w:val="389C6EEF"/>
    <w:rsid w:val="389F5CD8"/>
    <w:rsid w:val="38A87971"/>
    <w:rsid w:val="38AA6BDA"/>
    <w:rsid w:val="38AE7EF7"/>
    <w:rsid w:val="38B279EB"/>
    <w:rsid w:val="38B82AF5"/>
    <w:rsid w:val="38BF46CC"/>
    <w:rsid w:val="38C7204D"/>
    <w:rsid w:val="38E273AD"/>
    <w:rsid w:val="38E51F81"/>
    <w:rsid w:val="38EA0422"/>
    <w:rsid w:val="38EA6C83"/>
    <w:rsid w:val="38F23171"/>
    <w:rsid w:val="38FB4E95"/>
    <w:rsid w:val="39020C1E"/>
    <w:rsid w:val="39266689"/>
    <w:rsid w:val="392B1828"/>
    <w:rsid w:val="39333B69"/>
    <w:rsid w:val="393E4578"/>
    <w:rsid w:val="394D58E5"/>
    <w:rsid w:val="39542E1A"/>
    <w:rsid w:val="395E36CB"/>
    <w:rsid w:val="39933B19"/>
    <w:rsid w:val="39A33CED"/>
    <w:rsid w:val="39A75836"/>
    <w:rsid w:val="39B621B6"/>
    <w:rsid w:val="39B63F14"/>
    <w:rsid w:val="39B949D8"/>
    <w:rsid w:val="39BB11C0"/>
    <w:rsid w:val="39BC364C"/>
    <w:rsid w:val="39C55488"/>
    <w:rsid w:val="39E81284"/>
    <w:rsid w:val="39ED5AEC"/>
    <w:rsid w:val="39F07CBA"/>
    <w:rsid w:val="39F25C1A"/>
    <w:rsid w:val="3A03630D"/>
    <w:rsid w:val="3A094ECC"/>
    <w:rsid w:val="3A184B1B"/>
    <w:rsid w:val="3A2B463D"/>
    <w:rsid w:val="3A386A14"/>
    <w:rsid w:val="3A3C0A2C"/>
    <w:rsid w:val="3A4122C4"/>
    <w:rsid w:val="3A453174"/>
    <w:rsid w:val="3A5133D0"/>
    <w:rsid w:val="3A52381C"/>
    <w:rsid w:val="3A5665C6"/>
    <w:rsid w:val="3A58654F"/>
    <w:rsid w:val="3A6279C6"/>
    <w:rsid w:val="3A687E26"/>
    <w:rsid w:val="3A8322BE"/>
    <w:rsid w:val="3A9643BE"/>
    <w:rsid w:val="3AAA5962"/>
    <w:rsid w:val="3AC71D0D"/>
    <w:rsid w:val="3AC7728A"/>
    <w:rsid w:val="3ACB380C"/>
    <w:rsid w:val="3AD77246"/>
    <w:rsid w:val="3AEC66D3"/>
    <w:rsid w:val="3AED2353"/>
    <w:rsid w:val="3AF6205F"/>
    <w:rsid w:val="3B0373CC"/>
    <w:rsid w:val="3B050D2B"/>
    <w:rsid w:val="3B1D2FE9"/>
    <w:rsid w:val="3B1F566C"/>
    <w:rsid w:val="3B265D2B"/>
    <w:rsid w:val="3B293484"/>
    <w:rsid w:val="3B392F9B"/>
    <w:rsid w:val="3B497D60"/>
    <w:rsid w:val="3B4D0406"/>
    <w:rsid w:val="3B4F3729"/>
    <w:rsid w:val="3B5C1C29"/>
    <w:rsid w:val="3B716F78"/>
    <w:rsid w:val="3B861B2F"/>
    <w:rsid w:val="3B8725C8"/>
    <w:rsid w:val="3B933D1F"/>
    <w:rsid w:val="3BA35552"/>
    <w:rsid w:val="3BA40D5C"/>
    <w:rsid w:val="3BB54638"/>
    <w:rsid w:val="3BBD597A"/>
    <w:rsid w:val="3BD62991"/>
    <w:rsid w:val="3BD95935"/>
    <w:rsid w:val="3BEC0523"/>
    <w:rsid w:val="3BF34A5A"/>
    <w:rsid w:val="3BF55114"/>
    <w:rsid w:val="3C133C00"/>
    <w:rsid w:val="3C2A50F0"/>
    <w:rsid w:val="3C2B11E4"/>
    <w:rsid w:val="3C2D2BF0"/>
    <w:rsid w:val="3C40286C"/>
    <w:rsid w:val="3C402D12"/>
    <w:rsid w:val="3C4373C4"/>
    <w:rsid w:val="3C511010"/>
    <w:rsid w:val="3C83545A"/>
    <w:rsid w:val="3C9508B9"/>
    <w:rsid w:val="3CB44678"/>
    <w:rsid w:val="3CBE1861"/>
    <w:rsid w:val="3CCD7F97"/>
    <w:rsid w:val="3CD06F1D"/>
    <w:rsid w:val="3CD9405C"/>
    <w:rsid w:val="3CDB019A"/>
    <w:rsid w:val="3CE83CA8"/>
    <w:rsid w:val="3CF46D1B"/>
    <w:rsid w:val="3CF672F5"/>
    <w:rsid w:val="3D0777F5"/>
    <w:rsid w:val="3D11065F"/>
    <w:rsid w:val="3D146E96"/>
    <w:rsid w:val="3D2F4655"/>
    <w:rsid w:val="3D32517E"/>
    <w:rsid w:val="3D361B91"/>
    <w:rsid w:val="3D5126C7"/>
    <w:rsid w:val="3D5B4B1B"/>
    <w:rsid w:val="3D6C5E0D"/>
    <w:rsid w:val="3D7778E1"/>
    <w:rsid w:val="3DB86D41"/>
    <w:rsid w:val="3DC254CA"/>
    <w:rsid w:val="3DD64A42"/>
    <w:rsid w:val="3DDA6CB7"/>
    <w:rsid w:val="3DE67F86"/>
    <w:rsid w:val="3DE81CE1"/>
    <w:rsid w:val="3DF9074C"/>
    <w:rsid w:val="3DFF7691"/>
    <w:rsid w:val="3E091A36"/>
    <w:rsid w:val="3E0C1BA4"/>
    <w:rsid w:val="3E21293C"/>
    <w:rsid w:val="3E30610D"/>
    <w:rsid w:val="3E3703FB"/>
    <w:rsid w:val="3E392133"/>
    <w:rsid w:val="3E6A644A"/>
    <w:rsid w:val="3E711D4C"/>
    <w:rsid w:val="3E7D113A"/>
    <w:rsid w:val="3E861F2A"/>
    <w:rsid w:val="3E865C72"/>
    <w:rsid w:val="3E920965"/>
    <w:rsid w:val="3E92378D"/>
    <w:rsid w:val="3E925074"/>
    <w:rsid w:val="3EA63B08"/>
    <w:rsid w:val="3EC57D85"/>
    <w:rsid w:val="3ECB6600"/>
    <w:rsid w:val="3ED55409"/>
    <w:rsid w:val="3ED71DD3"/>
    <w:rsid w:val="3ED81093"/>
    <w:rsid w:val="3EF76DEB"/>
    <w:rsid w:val="3F14466E"/>
    <w:rsid w:val="3F147322"/>
    <w:rsid w:val="3F1671B2"/>
    <w:rsid w:val="3F193B0C"/>
    <w:rsid w:val="3F1B7BDA"/>
    <w:rsid w:val="3F20156A"/>
    <w:rsid w:val="3F2B4F32"/>
    <w:rsid w:val="3F4F53D8"/>
    <w:rsid w:val="3F5A0932"/>
    <w:rsid w:val="3F6009A6"/>
    <w:rsid w:val="3F60143E"/>
    <w:rsid w:val="3F7561FB"/>
    <w:rsid w:val="3F775701"/>
    <w:rsid w:val="3F7F15D7"/>
    <w:rsid w:val="3F8175A9"/>
    <w:rsid w:val="3F9110FB"/>
    <w:rsid w:val="3F970AC9"/>
    <w:rsid w:val="3F983970"/>
    <w:rsid w:val="3FA04C1F"/>
    <w:rsid w:val="3FAB3EF2"/>
    <w:rsid w:val="3FB74B79"/>
    <w:rsid w:val="3FB97FE1"/>
    <w:rsid w:val="3FC62C11"/>
    <w:rsid w:val="3FC801AF"/>
    <w:rsid w:val="3FE07E89"/>
    <w:rsid w:val="3FE10133"/>
    <w:rsid w:val="3FEB1BC6"/>
    <w:rsid w:val="3FF03FC2"/>
    <w:rsid w:val="400159AA"/>
    <w:rsid w:val="400F586A"/>
    <w:rsid w:val="401546BB"/>
    <w:rsid w:val="40225FCC"/>
    <w:rsid w:val="402C43AB"/>
    <w:rsid w:val="402D0F85"/>
    <w:rsid w:val="4031573F"/>
    <w:rsid w:val="403329CA"/>
    <w:rsid w:val="403645F3"/>
    <w:rsid w:val="40395F82"/>
    <w:rsid w:val="403B5045"/>
    <w:rsid w:val="403F51D3"/>
    <w:rsid w:val="40491F46"/>
    <w:rsid w:val="405A7C3B"/>
    <w:rsid w:val="406E02E4"/>
    <w:rsid w:val="407658B9"/>
    <w:rsid w:val="407F7AEC"/>
    <w:rsid w:val="40A86353"/>
    <w:rsid w:val="40AC46DB"/>
    <w:rsid w:val="40B530C4"/>
    <w:rsid w:val="40CC47B9"/>
    <w:rsid w:val="40D07877"/>
    <w:rsid w:val="40E41DEF"/>
    <w:rsid w:val="40F17FA1"/>
    <w:rsid w:val="40F2485A"/>
    <w:rsid w:val="40FC47E1"/>
    <w:rsid w:val="41345493"/>
    <w:rsid w:val="413726AF"/>
    <w:rsid w:val="4138297C"/>
    <w:rsid w:val="415C1E5E"/>
    <w:rsid w:val="4188317F"/>
    <w:rsid w:val="41924FB9"/>
    <w:rsid w:val="41A41AB6"/>
    <w:rsid w:val="41A623DC"/>
    <w:rsid w:val="41AD6698"/>
    <w:rsid w:val="41B34DF1"/>
    <w:rsid w:val="41BB0480"/>
    <w:rsid w:val="41BF708C"/>
    <w:rsid w:val="41CC6917"/>
    <w:rsid w:val="41DA6ADE"/>
    <w:rsid w:val="41F20E3F"/>
    <w:rsid w:val="41F411C5"/>
    <w:rsid w:val="42041BE8"/>
    <w:rsid w:val="42097713"/>
    <w:rsid w:val="420D42E6"/>
    <w:rsid w:val="42186FAF"/>
    <w:rsid w:val="42436B6D"/>
    <w:rsid w:val="42602158"/>
    <w:rsid w:val="42635B8E"/>
    <w:rsid w:val="426C67C4"/>
    <w:rsid w:val="426E724D"/>
    <w:rsid w:val="427878A4"/>
    <w:rsid w:val="42795CBA"/>
    <w:rsid w:val="428B1B54"/>
    <w:rsid w:val="429D57CF"/>
    <w:rsid w:val="42BB2A5D"/>
    <w:rsid w:val="42CB6444"/>
    <w:rsid w:val="42E20CF5"/>
    <w:rsid w:val="42EF3074"/>
    <w:rsid w:val="42F27836"/>
    <w:rsid w:val="42F531CE"/>
    <w:rsid w:val="42FF4BE0"/>
    <w:rsid w:val="430A6E5A"/>
    <w:rsid w:val="430F6EAD"/>
    <w:rsid w:val="43120317"/>
    <w:rsid w:val="431303D0"/>
    <w:rsid w:val="432809C5"/>
    <w:rsid w:val="4330416F"/>
    <w:rsid w:val="433E2AAC"/>
    <w:rsid w:val="434A0B41"/>
    <w:rsid w:val="434F7A62"/>
    <w:rsid w:val="43633E12"/>
    <w:rsid w:val="436752A6"/>
    <w:rsid w:val="43804E58"/>
    <w:rsid w:val="43843FDD"/>
    <w:rsid w:val="439F0E69"/>
    <w:rsid w:val="43D7406A"/>
    <w:rsid w:val="43DC5799"/>
    <w:rsid w:val="43DF586D"/>
    <w:rsid w:val="43E14FD7"/>
    <w:rsid w:val="43EE53C7"/>
    <w:rsid w:val="43F42B17"/>
    <w:rsid w:val="43FB7FEE"/>
    <w:rsid w:val="44006D4C"/>
    <w:rsid w:val="441A3D23"/>
    <w:rsid w:val="441C7F8A"/>
    <w:rsid w:val="441E1F6C"/>
    <w:rsid w:val="44284DFE"/>
    <w:rsid w:val="442B676B"/>
    <w:rsid w:val="443B29FC"/>
    <w:rsid w:val="443B4DCB"/>
    <w:rsid w:val="443D5D23"/>
    <w:rsid w:val="44450C02"/>
    <w:rsid w:val="444529B0"/>
    <w:rsid w:val="445E3393"/>
    <w:rsid w:val="4464327A"/>
    <w:rsid w:val="446A3FBF"/>
    <w:rsid w:val="4487121B"/>
    <w:rsid w:val="44BC57EA"/>
    <w:rsid w:val="44BD072C"/>
    <w:rsid w:val="44C367B8"/>
    <w:rsid w:val="44C36A47"/>
    <w:rsid w:val="44D8473A"/>
    <w:rsid w:val="44DB259F"/>
    <w:rsid w:val="44DF2E05"/>
    <w:rsid w:val="44E37827"/>
    <w:rsid w:val="44E701A5"/>
    <w:rsid w:val="44FD4B05"/>
    <w:rsid w:val="45080D22"/>
    <w:rsid w:val="450E74EC"/>
    <w:rsid w:val="45265484"/>
    <w:rsid w:val="452D1DC2"/>
    <w:rsid w:val="452D74E0"/>
    <w:rsid w:val="453749EF"/>
    <w:rsid w:val="45392515"/>
    <w:rsid w:val="45396AC7"/>
    <w:rsid w:val="45407025"/>
    <w:rsid w:val="45536CBB"/>
    <w:rsid w:val="45756CBD"/>
    <w:rsid w:val="45777091"/>
    <w:rsid w:val="457C4123"/>
    <w:rsid w:val="45855844"/>
    <w:rsid w:val="458B69F6"/>
    <w:rsid w:val="45A150E9"/>
    <w:rsid w:val="45A40F60"/>
    <w:rsid w:val="45A647C9"/>
    <w:rsid w:val="45A94A5A"/>
    <w:rsid w:val="45BF1718"/>
    <w:rsid w:val="45C325DF"/>
    <w:rsid w:val="45C943D0"/>
    <w:rsid w:val="45CC116E"/>
    <w:rsid w:val="45DA04A4"/>
    <w:rsid w:val="45DA6D30"/>
    <w:rsid w:val="45DE14B8"/>
    <w:rsid w:val="45DE4E6B"/>
    <w:rsid w:val="45E16709"/>
    <w:rsid w:val="45E168FF"/>
    <w:rsid w:val="45E2495B"/>
    <w:rsid w:val="46116C98"/>
    <w:rsid w:val="461F5BAF"/>
    <w:rsid w:val="46232DCE"/>
    <w:rsid w:val="462A12E7"/>
    <w:rsid w:val="463842DE"/>
    <w:rsid w:val="46386E53"/>
    <w:rsid w:val="4639036D"/>
    <w:rsid w:val="46395320"/>
    <w:rsid w:val="463A05A5"/>
    <w:rsid w:val="463A5557"/>
    <w:rsid w:val="4644686C"/>
    <w:rsid w:val="46460291"/>
    <w:rsid w:val="464A0A81"/>
    <w:rsid w:val="465F3743"/>
    <w:rsid w:val="4662439C"/>
    <w:rsid w:val="46625A9D"/>
    <w:rsid w:val="4666004F"/>
    <w:rsid w:val="467873FB"/>
    <w:rsid w:val="4687140A"/>
    <w:rsid w:val="46891645"/>
    <w:rsid w:val="469506DA"/>
    <w:rsid w:val="469B1818"/>
    <w:rsid w:val="469D0882"/>
    <w:rsid w:val="46A9385A"/>
    <w:rsid w:val="46C10024"/>
    <w:rsid w:val="46C43C98"/>
    <w:rsid w:val="46CA4E0D"/>
    <w:rsid w:val="46CE3131"/>
    <w:rsid w:val="46DB7947"/>
    <w:rsid w:val="46E44703"/>
    <w:rsid w:val="46E542E8"/>
    <w:rsid w:val="47044320"/>
    <w:rsid w:val="4709504A"/>
    <w:rsid w:val="470B23CA"/>
    <w:rsid w:val="471E70AB"/>
    <w:rsid w:val="471F573B"/>
    <w:rsid w:val="4727210E"/>
    <w:rsid w:val="472762D3"/>
    <w:rsid w:val="472B0748"/>
    <w:rsid w:val="472B2D63"/>
    <w:rsid w:val="473E6301"/>
    <w:rsid w:val="47433D25"/>
    <w:rsid w:val="47454177"/>
    <w:rsid w:val="474F15D8"/>
    <w:rsid w:val="4754049B"/>
    <w:rsid w:val="47583095"/>
    <w:rsid w:val="475845FC"/>
    <w:rsid w:val="475E7C0D"/>
    <w:rsid w:val="476415D8"/>
    <w:rsid w:val="47701558"/>
    <w:rsid w:val="477426A5"/>
    <w:rsid w:val="477B49D4"/>
    <w:rsid w:val="47873BD6"/>
    <w:rsid w:val="47934980"/>
    <w:rsid w:val="47B2336A"/>
    <w:rsid w:val="47BA4F6E"/>
    <w:rsid w:val="47C22C96"/>
    <w:rsid w:val="47C6198F"/>
    <w:rsid w:val="47D7366E"/>
    <w:rsid w:val="47E12DA0"/>
    <w:rsid w:val="47E32FBE"/>
    <w:rsid w:val="486C3D94"/>
    <w:rsid w:val="48773D46"/>
    <w:rsid w:val="4887459B"/>
    <w:rsid w:val="48A226AD"/>
    <w:rsid w:val="48B2699F"/>
    <w:rsid w:val="48B67D8D"/>
    <w:rsid w:val="48C260C0"/>
    <w:rsid w:val="48CC544E"/>
    <w:rsid w:val="48D26D9A"/>
    <w:rsid w:val="48EA2432"/>
    <w:rsid w:val="4902628A"/>
    <w:rsid w:val="490B2882"/>
    <w:rsid w:val="49116A8B"/>
    <w:rsid w:val="4912008E"/>
    <w:rsid w:val="492412C0"/>
    <w:rsid w:val="49302BF1"/>
    <w:rsid w:val="49310757"/>
    <w:rsid w:val="494E7D53"/>
    <w:rsid w:val="496170A0"/>
    <w:rsid w:val="49652C7D"/>
    <w:rsid w:val="49755E59"/>
    <w:rsid w:val="497F1FDC"/>
    <w:rsid w:val="4988006D"/>
    <w:rsid w:val="498E0547"/>
    <w:rsid w:val="499646A6"/>
    <w:rsid w:val="499F4D25"/>
    <w:rsid w:val="49AC0AB2"/>
    <w:rsid w:val="49B26E0D"/>
    <w:rsid w:val="49B36FE4"/>
    <w:rsid w:val="49BB06FB"/>
    <w:rsid w:val="49BC2A68"/>
    <w:rsid w:val="49EB7211"/>
    <w:rsid w:val="49F04BCB"/>
    <w:rsid w:val="49FD451C"/>
    <w:rsid w:val="4A037F21"/>
    <w:rsid w:val="4A0B7969"/>
    <w:rsid w:val="4A152F65"/>
    <w:rsid w:val="4A1A3486"/>
    <w:rsid w:val="4A201EF6"/>
    <w:rsid w:val="4A286FFC"/>
    <w:rsid w:val="4A3E0914"/>
    <w:rsid w:val="4A3F1207"/>
    <w:rsid w:val="4A4200BE"/>
    <w:rsid w:val="4A4D4DB2"/>
    <w:rsid w:val="4A522606"/>
    <w:rsid w:val="4A5527FC"/>
    <w:rsid w:val="4A57472F"/>
    <w:rsid w:val="4A5C1C5B"/>
    <w:rsid w:val="4A715E3D"/>
    <w:rsid w:val="4A9A1CA8"/>
    <w:rsid w:val="4AB72982"/>
    <w:rsid w:val="4ADA6548"/>
    <w:rsid w:val="4B137364"/>
    <w:rsid w:val="4B1B2082"/>
    <w:rsid w:val="4B1F03FF"/>
    <w:rsid w:val="4B336491"/>
    <w:rsid w:val="4B3F63AB"/>
    <w:rsid w:val="4B630CDF"/>
    <w:rsid w:val="4B635F8B"/>
    <w:rsid w:val="4B643369"/>
    <w:rsid w:val="4B65032C"/>
    <w:rsid w:val="4B712A43"/>
    <w:rsid w:val="4B82202B"/>
    <w:rsid w:val="4B863FDA"/>
    <w:rsid w:val="4B8D5CB6"/>
    <w:rsid w:val="4B97620C"/>
    <w:rsid w:val="4BA12011"/>
    <w:rsid w:val="4BA60D92"/>
    <w:rsid w:val="4BB56E75"/>
    <w:rsid w:val="4BBE1692"/>
    <w:rsid w:val="4BCA0C2B"/>
    <w:rsid w:val="4BCE0684"/>
    <w:rsid w:val="4BD5655B"/>
    <w:rsid w:val="4BD65A7B"/>
    <w:rsid w:val="4BF43EA0"/>
    <w:rsid w:val="4BFA0524"/>
    <w:rsid w:val="4BFC604B"/>
    <w:rsid w:val="4C0B49E3"/>
    <w:rsid w:val="4C180EC0"/>
    <w:rsid w:val="4C4B6676"/>
    <w:rsid w:val="4C4D36BA"/>
    <w:rsid w:val="4C696745"/>
    <w:rsid w:val="4C737423"/>
    <w:rsid w:val="4C792BE9"/>
    <w:rsid w:val="4C875B06"/>
    <w:rsid w:val="4C987A51"/>
    <w:rsid w:val="4C993ABE"/>
    <w:rsid w:val="4CAA2DCE"/>
    <w:rsid w:val="4CB13E3B"/>
    <w:rsid w:val="4CB96EE9"/>
    <w:rsid w:val="4CD66C96"/>
    <w:rsid w:val="4CDC4359"/>
    <w:rsid w:val="4CDC5A3B"/>
    <w:rsid w:val="4CDF0E5D"/>
    <w:rsid w:val="4CE376D5"/>
    <w:rsid w:val="4D0D3FCB"/>
    <w:rsid w:val="4D2A5D2C"/>
    <w:rsid w:val="4D311F8B"/>
    <w:rsid w:val="4D31476E"/>
    <w:rsid w:val="4D3B1A90"/>
    <w:rsid w:val="4D547564"/>
    <w:rsid w:val="4D551EB6"/>
    <w:rsid w:val="4D6C65CD"/>
    <w:rsid w:val="4D8217BA"/>
    <w:rsid w:val="4D9C1BB4"/>
    <w:rsid w:val="4DA43BF6"/>
    <w:rsid w:val="4DAA2DE6"/>
    <w:rsid w:val="4DC65A69"/>
    <w:rsid w:val="4DD038DE"/>
    <w:rsid w:val="4DEF7E89"/>
    <w:rsid w:val="4DF4626D"/>
    <w:rsid w:val="4DFC20A2"/>
    <w:rsid w:val="4DFF1B97"/>
    <w:rsid w:val="4E01203E"/>
    <w:rsid w:val="4E020B1B"/>
    <w:rsid w:val="4E043535"/>
    <w:rsid w:val="4E1230F9"/>
    <w:rsid w:val="4E1362FB"/>
    <w:rsid w:val="4E192EE4"/>
    <w:rsid w:val="4E25360E"/>
    <w:rsid w:val="4E2719FC"/>
    <w:rsid w:val="4E2D4BE1"/>
    <w:rsid w:val="4E5E12F1"/>
    <w:rsid w:val="4E62045F"/>
    <w:rsid w:val="4E783F31"/>
    <w:rsid w:val="4E881E17"/>
    <w:rsid w:val="4EA330AA"/>
    <w:rsid w:val="4EAC689C"/>
    <w:rsid w:val="4EB25AA5"/>
    <w:rsid w:val="4EDD2691"/>
    <w:rsid w:val="4EF911E3"/>
    <w:rsid w:val="4EF94046"/>
    <w:rsid w:val="4F003827"/>
    <w:rsid w:val="4F0048E8"/>
    <w:rsid w:val="4F0C760F"/>
    <w:rsid w:val="4F15188C"/>
    <w:rsid w:val="4F255836"/>
    <w:rsid w:val="4F29165C"/>
    <w:rsid w:val="4F2A6F7E"/>
    <w:rsid w:val="4F2D00A8"/>
    <w:rsid w:val="4F3F24FD"/>
    <w:rsid w:val="4F4F67C3"/>
    <w:rsid w:val="4F580453"/>
    <w:rsid w:val="4F5A49F4"/>
    <w:rsid w:val="4F647CAE"/>
    <w:rsid w:val="4F7F4759"/>
    <w:rsid w:val="4F8A3560"/>
    <w:rsid w:val="4F8A6E9D"/>
    <w:rsid w:val="4F8B1410"/>
    <w:rsid w:val="4FA00EA1"/>
    <w:rsid w:val="4FA703F4"/>
    <w:rsid w:val="4FA7410F"/>
    <w:rsid w:val="4FB10DBD"/>
    <w:rsid w:val="4FB1747E"/>
    <w:rsid w:val="4FBE30A4"/>
    <w:rsid w:val="4FD02150"/>
    <w:rsid w:val="4FD47514"/>
    <w:rsid w:val="4FDC31A9"/>
    <w:rsid w:val="4FE15CB0"/>
    <w:rsid w:val="4FE65959"/>
    <w:rsid w:val="4FF525AA"/>
    <w:rsid w:val="4FF63DCE"/>
    <w:rsid w:val="500A5543"/>
    <w:rsid w:val="501D01A2"/>
    <w:rsid w:val="501D19C7"/>
    <w:rsid w:val="50372FFC"/>
    <w:rsid w:val="50381A05"/>
    <w:rsid w:val="504305E6"/>
    <w:rsid w:val="504C6018"/>
    <w:rsid w:val="50500C93"/>
    <w:rsid w:val="506E1264"/>
    <w:rsid w:val="508B7406"/>
    <w:rsid w:val="509F73B0"/>
    <w:rsid w:val="50A3577B"/>
    <w:rsid w:val="50B26A6B"/>
    <w:rsid w:val="50C20F4E"/>
    <w:rsid w:val="50CD4459"/>
    <w:rsid w:val="50D40C4B"/>
    <w:rsid w:val="50E46F54"/>
    <w:rsid w:val="510F5BEA"/>
    <w:rsid w:val="5116195C"/>
    <w:rsid w:val="512F07EA"/>
    <w:rsid w:val="51385D10"/>
    <w:rsid w:val="514054DD"/>
    <w:rsid w:val="5144267E"/>
    <w:rsid w:val="514D07CA"/>
    <w:rsid w:val="51604849"/>
    <w:rsid w:val="51747844"/>
    <w:rsid w:val="51777F08"/>
    <w:rsid w:val="51797862"/>
    <w:rsid w:val="51912DDA"/>
    <w:rsid w:val="519B7908"/>
    <w:rsid w:val="51AB47E1"/>
    <w:rsid w:val="51AD4828"/>
    <w:rsid w:val="51B0234A"/>
    <w:rsid w:val="51B047FE"/>
    <w:rsid w:val="51B204B9"/>
    <w:rsid w:val="51B56296"/>
    <w:rsid w:val="51C72834"/>
    <w:rsid w:val="51E16066"/>
    <w:rsid w:val="51E74EF3"/>
    <w:rsid w:val="51F96C04"/>
    <w:rsid w:val="520C2961"/>
    <w:rsid w:val="52195B6B"/>
    <w:rsid w:val="522F500B"/>
    <w:rsid w:val="523852D6"/>
    <w:rsid w:val="523E768F"/>
    <w:rsid w:val="5242577E"/>
    <w:rsid w:val="52530988"/>
    <w:rsid w:val="52631C79"/>
    <w:rsid w:val="527076ED"/>
    <w:rsid w:val="5278251C"/>
    <w:rsid w:val="52783884"/>
    <w:rsid w:val="529D66D8"/>
    <w:rsid w:val="52A5407B"/>
    <w:rsid w:val="52AC28BC"/>
    <w:rsid w:val="52AD009F"/>
    <w:rsid w:val="52B05067"/>
    <w:rsid w:val="52CC01AE"/>
    <w:rsid w:val="52CC23E6"/>
    <w:rsid w:val="52D05C12"/>
    <w:rsid w:val="52D7787C"/>
    <w:rsid w:val="52E07238"/>
    <w:rsid w:val="52EA11D5"/>
    <w:rsid w:val="52EF49AD"/>
    <w:rsid w:val="52F97788"/>
    <w:rsid w:val="530C520A"/>
    <w:rsid w:val="5329120F"/>
    <w:rsid w:val="536F68C7"/>
    <w:rsid w:val="537C1F2B"/>
    <w:rsid w:val="5382736B"/>
    <w:rsid w:val="538F652A"/>
    <w:rsid w:val="539D6771"/>
    <w:rsid w:val="539E491F"/>
    <w:rsid w:val="53B1488E"/>
    <w:rsid w:val="53B24EEA"/>
    <w:rsid w:val="53B97E84"/>
    <w:rsid w:val="53BF4F14"/>
    <w:rsid w:val="53C72845"/>
    <w:rsid w:val="53CA6414"/>
    <w:rsid w:val="53CC1436"/>
    <w:rsid w:val="53CD661E"/>
    <w:rsid w:val="53CF1DAE"/>
    <w:rsid w:val="53D00E36"/>
    <w:rsid w:val="53D31D47"/>
    <w:rsid w:val="53DD499C"/>
    <w:rsid w:val="53EF09CA"/>
    <w:rsid w:val="53F014B1"/>
    <w:rsid w:val="5408182A"/>
    <w:rsid w:val="54106B37"/>
    <w:rsid w:val="5411488E"/>
    <w:rsid w:val="54125F57"/>
    <w:rsid w:val="54187343"/>
    <w:rsid w:val="541C31AF"/>
    <w:rsid w:val="5420466B"/>
    <w:rsid w:val="542A07E4"/>
    <w:rsid w:val="542B1BC3"/>
    <w:rsid w:val="54317177"/>
    <w:rsid w:val="5433414C"/>
    <w:rsid w:val="54465F20"/>
    <w:rsid w:val="545D4199"/>
    <w:rsid w:val="54831B18"/>
    <w:rsid w:val="548F5C4F"/>
    <w:rsid w:val="54936AF0"/>
    <w:rsid w:val="549502FD"/>
    <w:rsid w:val="54973DD2"/>
    <w:rsid w:val="549B0561"/>
    <w:rsid w:val="549C4F28"/>
    <w:rsid w:val="54AB09A6"/>
    <w:rsid w:val="54AF20D4"/>
    <w:rsid w:val="54B72A99"/>
    <w:rsid w:val="54BC49A0"/>
    <w:rsid w:val="54CC7AC8"/>
    <w:rsid w:val="54ED4239"/>
    <w:rsid w:val="54FE4EC4"/>
    <w:rsid w:val="55022976"/>
    <w:rsid w:val="551A2201"/>
    <w:rsid w:val="551C096F"/>
    <w:rsid w:val="55240097"/>
    <w:rsid w:val="552A0691"/>
    <w:rsid w:val="552C3D46"/>
    <w:rsid w:val="552C52CA"/>
    <w:rsid w:val="55407C55"/>
    <w:rsid w:val="55437380"/>
    <w:rsid w:val="554D13EE"/>
    <w:rsid w:val="554F368F"/>
    <w:rsid w:val="55797798"/>
    <w:rsid w:val="55854A5F"/>
    <w:rsid w:val="559341A6"/>
    <w:rsid w:val="5594298A"/>
    <w:rsid w:val="559F4616"/>
    <w:rsid w:val="55A0213D"/>
    <w:rsid w:val="55B160F8"/>
    <w:rsid w:val="55B17EA6"/>
    <w:rsid w:val="55B653AF"/>
    <w:rsid w:val="55C20305"/>
    <w:rsid w:val="55C57ADE"/>
    <w:rsid w:val="55CE22F2"/>
    <w:rsid w:val="55E1536C"/>
    <w:rsid w:val="55F936EF"/>
    <w:rsid w:val="55FA0B36"/>
    <w:rsid w:val="56160365"/>
    <w:rsid w:val="561717F3"/>
    <w:rsid w:val="561E54E3"/>
    <w:rsid w:val="5637332C"/>
    <w:rsid w:val="563C1E65"/>
    <w:rsid w:val="564D4072"/>
    <w:rsid w:val="566539D0"/>
    <w:rsid w:val="566E6821"/>
    <w:rsid w:val="5697353F"/>
    <w:rsid w:val="569F32F8"/>
    <w:rsid w:val="56A814DF"/>
    <w:rsid w:val="56A8416C"/>
    <w:rsid w:val="56DD5432"/>
    <w:rsid w:val="56DD747D"/>
    <w:rsid w:val="56E06E21"/>
    <w:rsid w:val="56EA5375"/>
    <w:rsid w:val="56EE039D"/>
    <w:rsid w:val="56F96728"/>
    <w:rsid w:val="57055086"/>
    <w:rsid w:val="571F273F"/>
    <w:rsid w:val="572F7A73"/>
    <w:rsid w:val="5751212C"/>
    <w:rsid w:val="575B5634"/>
    <w:rsid w:val="575D7EC0"/>
    <w:rsid w:val="576138FC"/>
    <w:rsid w:val="57734EF6"/>
    <w:rsid w:val="57862942"/>
    <w:rsid w:val="578736CD"/>
    <w:rsid w:val="578739BB"/>
    <w:rsid w:val="57893C0F"/>
    <w:rsid w:val="578F5C2B"/>
    <w:rsid w:val="579601A7"/>
    <w:rsid w:val="5798256F"/>
    <w:rsid w:val="579840C7"/>
    <w:rsid w:val="57990C53"/>
    <w:rsid w:val="579B6A3A"/>
    <w:rsid w:val="57C2221D"/>
    <w:rsid w:val="57C42129"/>
    <w:rsid w:val="57DC1CDA"/>
    <w:rsid w:val="57E1536E"/>
    <w:rsid w:val="57F23C5C"/>
    <w:rsid w:val="57F937DC"/>
    <w:rsid w:val="57FD673B"/>
    <w:rsid w:val="58115A63"/>
    <w:rsid w:val="581224A2"/>
    <w:rsid w:val="583077A8"/>
    <w:rsid w:val="583A7FA8"/>
    <w:rsid w:val="58440A79"/>
    <w:rsid w:val="58544955"/>
    <w:rsid w:val="58566AE7"/>
    <w:rsid w:val="585962B5"/>
    <w:rsid w:val="585F5B75"/>
    <w:rsid w:val="587126D4"/>
    <w:rsid w:val="587A4269"/>
    <w:rsid w:val="587C29ED"/>
    <w:rsid w:val="589A5A5F"/>
    <w:rsid w:val="58B94375"/>
    <w:rsid w:val="58BA4A70"/>
    <w:rsid w:val="58DF11CE"/>
    <w:rsid w:val="58F537AF"/>
    <w:rsid w:val="5902444F"/>
    <w:rsid w:val="59043A09"/>
    <w:rsid w:val="591B5CBF"/>
    <w:rsid w:val="5927514C"/>
    <w:rsid w:val="594F610B"/>
    <w:rsid w:val="59551DFF"/>
    <w:rsid w:val="59600EE5"/>
    <w:rsid w:val="59634BDC"/>
    <w:rsid w:val="596D67DA"/>
    <w:rsid w:val="59766ED3"/>
    <w:rsid w:val="598558D1"/>
    <w:rsid w:val="598A15DC"/>
    <w:rsid w:val="59941B20"/>
    <w:rsid w:val="599A4004"/>
    <w:rsid w:val="599B086D"/>
    <w:rsid w:val="59A10DD3"/>
    <w:rsid w:val="59B927ED"/>
    <w:rsid w:val="59BF5C8E"/>
    <w:rsid w:val="59C31511"/>
    <w:rsid w:val="59D625D1"/>
    <w:rsid w:val="59D97EC2"/>
    <w:rsid w:val="59E27409"/>
    <w:rsid w:val="59E52BA1"/>
    <w:rsid w:val="59ED36DC"/>
    <w:rsid w:val="59FB5539"/>
    <w:rsid w:val="59FC781F"/>
    <w:rsid w:val="5A0724B1"/>
    <w:rsid w:val="5A3526A3"/>
    <w:rsid w:val="5A4E41C1"/>
    <w:rsid w:val="5A6210CC"/>
    <w:rsid w:val="5A654D08"/>
    <w:rsid w:val="5A6A4B79"/>
    <w:rsid w:val="5A7348C9"/>
    <w:rsid w:val="5A7521D8"/>
    <w:rsid w:val="5A7E7218"/>
    <w:rsid w:val="5A7F4506"/>
    <w:rsid w:val="5A8A3F13"/>
    <w:rsid w:val="5A9009D2"/>
    <w:rsid w:val="5A936069"/>
    <w:rsid w:val="5A9725BE"/>
    <w:rsid w:val="5AC76508"/>
    <w:rsid w:val="5AD45AFB"/>
    <w:rsid w:val="5AD61113"/>
    <w:rsid w:val="5AFC1624"/>
    <w:rsid w:val="5B095493"/>
    <w:rsid w:val="5B0D5B7E"/>
    <w:rsid w:val="5B115BA8"/>
    <w:rsid w:val="5B2353A2"/>
    <w:rsid w:val="5B235AE9"/>
    <w:rsid w:val="5B246A53"/>
    <w:rsid w:val="5B33382B"/>
    <w:rsid w:val="5B416E74"/>
    <w:rsid w:val="5B437EA2"/>
    <w:rsid w:val="5B480C66"/>
    <w:rsid w:val="5B534ED1"/>
    <w:rsid w:val="5B745D8C"/>
    <w:rsid w:val="5B750108"/>
    <w:rsid w:val="5B8859A0"/>
    <w:rsid w:val="5B886BD0"/>
    <w:rsid w:val="5B8E2674"/>
    <w:rsid w:val="5B8F6E7C"/>
    <w:rsid w:val="5B975D90"/>
    <w:rsid w:val="5B99131B"/>
    <w:rsid w:val="5B9932D2"/>
    <w:rsid w:val="5B9F7743"/>
    <w:rsid w:val="5BB0605D"/>
    <w:rsid w:val="5BB16968"/>
    <w:rsid w:val="5BB26369"/>
    <w:rsid w:val="5BB37628"/>
    <w:rsid w:val="5BB522B5"/>
    <w:rsid w:val="5BBA4618"/>
    <w:rsid w:val="5BC9548B"/>
    <w:rsid w:val="5BF84DDB"/>
    <w:rsid w:val="5C036F81"/>
    <w:rsid w:val="5C111338"/>
    <w:rsid w:val="5C520A74"/>
    <w:rsid w:val="5C574D68"/>
    <w:rsid w:val="5C58107B"/>
    <w:rsid w:val="5C691941"/>
    <w:rsid w:val="5C7919DF"/>
    <w:rsid w:val="5C8A3268"/>
    <w:rsid w:val="5CB35D47"/>
    <w:rsid w:val="5CB50EF3"/>
    <w:rsid w:val="5CC85C68"/>
    <w:rsid w:val="5CEC3A93"/>
    <w:rsid w:val="5CEF405D"/>
    <w:rsid w:val="5CF62188"/>
    <w:rsid w:val="5CFE5040"/>
    <w:rsid w:val="5D1341B2"/>
    <w:rsid w:val="5D154AF0"/>
    <w:rsid w:val="5D251093"/>
    <w:rsid w:val="5D275A93"/>
    <w:rsid w:val="5D287B54"/>
    <w:rsid w:val="5D3047D1"/>
    <w:rsid w:val="5D46011A"/>
    <w:rsid w:val="5D483FF4"/>
    <w:rsid w:val="5D494018"/>
    <w:rsid w:val="5D4B5084"/>
    <w:rsid w:val="5D5418FE"/>
    <w:rsid w:val="5D6B14A2"/>
    <w:rsid w:val="5D816F8F"/>
    <w:rsid w:val="5D9B0E6A"/>
    <w:rsid w:val="5D9E1AED"/>
    <w:rsid w:val="5D9E4E16"/>
    <w:rsid w:val="5D9F2CDA"/>
    <w:rsid w:val="5DAF46CB"/>
    <w:rsid w:val="5DBA0135"/>
    <w:rsid w:val="5DCD5DE5"/>
    <w:rsid w:val="5DD437EF"/>
    <w:rsid w:val="5DD46E27"/>
    <w:rsid w:val="5DE8152B"/>
    <w:rsid w:val="5DF16302"/>
    <w:rsid w:val="5DFF4B46"/>
    <w:rsid w:val="5E145476"/>
    <w:rsid w:val="5E39312E"/>
    <w:rsid w:val="5E3B0A10"/>
    <w:rsid w:val="5E424B71"/>
    <w:rsid w:val="5E6A2E85"/>
    <w:rsid w:val="5E7F5D8A"/>
    <w:rsid w:val="5E881A80"/>
    <w:rsid w:val="5E9200BF"/>
    <w:rsid w:val="5EB51AB3"/>
    <w:rsid w:val="5EC33621"/>
    <w:rsid w:val="5ECE5E6C"/>
    <w:rsid w:val="5EDE5813"/>
    <w:rsid w:val="5EE427C3"/>
    <w:rsid w:val="5EEF53E5"/>
    <w:rsid w:val="5EF31C67"/>
    <w:rsid w:val="5EF4004E"/>
    <w:rsid w:val="5EFA106E"/>
    <w:rsid w:val="5EFF06CD"/>
    <w:rsid w:val="5F010576"/>
    <w:rsid w:val="5F0251FA"/>
    <w:rsid w:val="5F0E693E"/>
    <w:rsid w:val="5F4475AE"/>
    <w:rsid w:val="5F4A6799"/>
    <w:rsid w:val="5F6C2424"/>
    <w:rsid w:val="5F6E718C"/>
    <w:rsid w:val="5F942D12"/>
    <w:rsid w:val="5F946A7C"/>
    <w:rsid w:val="5F964E5F"/>
    <w:rsid w:val="5F9E3FE4"/>
    <w:rsid w:val="5FAF632C"/>
    <w:rsid w:val="5FBA79B0"/>
    <w:rsid w:val="5FC61813"/>
    <w:rsid w:val="5FD27396"/>
    <w:rsid w:val="5FD57CF6"/>
    <w:rsid w:val="5FEA755F"/>
    <w:rsid w:val="5FF50EAD"/>
    <w:rsid w:val="60002155"/>
    <w:rsid w:val="600676E3"/>
    <w:rsid w:val="60107EBF"/>
    <w:rsid w:val="601C5687"/>
    <w:rsid w:val="602219B8"/>
    <w:rsid w:val="602B7B91"/>
    <w:rsid w:val="60391C4C"/>
    <w:rsid w:val="603B021E"/>
    <w:rsid w:val="60524986"/>
    <w:rsid w:val="60584683"/>
    <w:rsid w:val="606C3347"/>
    <w:rsid w:val="606F768E"/>
    <w:rsid w:val="6070328D"/>
    <w:rsid w:val="6078526D"/>
    <w:rsid w:val="608B78E2"/>
    <w:rsid w:val="608D00E3"/>
    <w:rsid w:val="60957760"/>
    <w:rsid w:val="60992490"/>
    <w:rsid w:val="60A1419A"/>
    <w:rsid w:val="60A43A47"/>
    <w:rsid w:val="60C33C2B"/>
    <w:rsid w:val="60E97ACC"/>
    <w:rsid w:val="60F15F42"/>
    <w:rsid w:val="60F168D4"/>
    <w:rsid w:val="61160E7E"/>
    <w:rsid w:val="61311E12"/>
    <w:rsid w:val="613227E3"/>
    <w:rsid w:val="614918DA"/>
    <w:rsid w:val="61637659"/>
    <w:rsid w:val="617C570B"/>
    <w:rsid w:val="61853804"/>
    <w:rsid w:val="618C0568"/>
    <w:rsid w:val="619B53CA"/>
    <w:rsid w:val="61A56DFA"/>
    <w:rsid w:val="61A905CB"/>
    <w:rsid w:val="61AF3BF2"/>
    <w:rsid w:val="61B50D1E"/>
    <w:rsid w:val="61BB4BC5"/>
    <w:rsid w:val="61E77B08"/>
    <w:rsid w:val="61EB5F1D"/>
    <w:rsid w:val="61F2797D"/>
    <w:rsid w:val="62017F65"/>
    <w:rsid w:val="621355E2"/>
    <w:rsid w:val="621B5631"/>
    <w:rsid w:val="624C125B"/>
    <w:rsid w:val="62612D73"/>
    <w:rsid w:val="626D1DCC"/>
    <w:rsid w:val="626D5F91"/>
    <w:rsid w:val="6272441F"/>
    <w:rsid w:val="62787EEC"/>
    <w:rsid w:val="627E7D9D"/>
    <w:rsid w:val="628407FE"/>
    <w:rsid w:val="62880405"/>
    <w:rsid w:val="629073C4"/>
    <w:rsid w:val="62996318"/>
    <w:rsid w:val="62AA6D2C"/>
    <w:rsid w:val="62B0179B"/>
    <w:rsid w:val="62CC094F"/>
    <w:rsid w:val="62F12CA6"/>
    <w:rsid w:val="62FB45CD"/>
    <w:rsid w:val="63001DEA"/>
    <w:rsid w:val="630334E9"/>
    <w:rsid w:val="630F445E"/>
    <w:rsid w:val="631B72A6"/>
    <w:rsid w:val="63237BF4"/>
    <w:rsid w:val="63242B23"/>
    <w:rsid w:val="634D2B86"/>
    <w:rsid w:val="63511C8D"/>
    <w:rsid w:val="635C73A1"/>
    <w:rsid w:val="63641914"/>
    <w:rsid w:val="63743838"/>
    <w:rsid w:val="637455EF"/>
    <w:rsid w:val="637509AF"/>
    <w:rsid w:val="63A23228"/>
    <w:rsid w:val="63AB5D44"/>
    <w:rsid w:val="63AC528F"/>
    <w:rsid w:val="63B04CF8"/>
    <w:rsid w:val="63BA7188"/>
    <w:rsid w:val="63BF796E"/>
    <w:rsid w:val="63C8241B"/>
    <w:rsid w:val="63DF59C2"/>
    <w:rsid w:val="63E6136F"/>
    <w:rsid w:val="63EA625B"/>
    <w:rsid w:val="63ED29F1"/>
    <w:rsid w:val="63EF5D9F"/>
    <w:rsid w:val="63FC6F31"/>
    <w:rsid w:val="642B176B"/>
    <w:rsid w:val="642E4F72"/>
    <w:rsid w:val="64362CFA"/>
    <w:rsid w:val="64405FB0"/>
    <w:rsid w:val="64497199"/>
    <w:rsid w:val="644C3BBB"/>
    <w:rsid w:val="646469D4"/>
    <w:rsid w:val="646870C7"/>
    <w:rsid w:val="647A419D"/>
    <w:rsid w:val="64846083"/>
    <w:rsid w:val="64851089"/>
    <w:rsid w:val="648C0E64"/>
    <w:rsid w:val="64983CC9"/>
    <w:rsid w:val="64A1475B"/>
    <w:rsid w:val="64B109D5"/>
    <w:rsid w:val="64CB617B"/>
    <w:rsid w:val="64D7377C"/>
    <w:rsid w:val="64E43E7F"/>
    <w:rsid w:val="64FE5C71"/>
    <w:rsid w:val="65007BC5"/>
    <w:rsid w:val="65107E36"/>
    <w:rsid w:val="65444A9F"/>
    <w:rsid w:val="654E476E"/>
    <w:rsid w:val="65631B13"/>
    <w:rsid w:val="656E7037"/>
    <w:rsid w:val="657B11CD"/>
    <w:rsid w:val="658A6BCD"/>
    <w:rsid w:val="659D0782"/>
    <w:rsid w:val="659D7C90"/>
    <w:rsid w:val="65B07F96"/>
    <w:rsid w:val="65D04EEB"/>
    <w:rsid w:val="65D424B9"/>
    <w:rsid w:val="65DB6E4D"/>
    <w:rsid w:val="65F26A72"/>
    <w:rsid w:val="65F71385"/>
    <w:rsid w:val="66001BA4"/>
    <w:rsid w:val="66014555"/>
    <w:rsid w:val="66025947"/>
    <w:rsid w:val="662303C6"/>
    <w:rsid w:val="662C6373"/>
    <w:rsid w:val="66304E17"/>
    <w:rsid w:val="663C583B"/>
    <w:rsid w:val="663C7469"/>
    <w:rsid w:val="664D3C1B"/>
    <w:rsid w:val="66646E77"/>
    <w:rsid w:val="66690859"/>
    <w:rsid w:val="666D1D58"/>
    <w:rsid w:val="66721395"/>
    <w:rsid w:val="667747F4"/>
    <w:rsid w:val="66796366"/>
    <w:rsid w:val="6688442C"/>
    <w:rsid w:val="66A71014"/>
    <w:rsid w:val="66B8269C"/>
    <w:rsid w:val="66D9391D"/>
    <w:rsid w:val="66DA6749"/>
    <w:rsid w:val="66E77BCB"/>
    <w:rsid w:val="66F57243"/>
    <w:rsid w:val="671D46C8"/>
    <w:rsid w:val="671F22A3"/>
    <w:rsid w:val="67291996"/>
    <w:rsid w:val="67291A35"/>
    <w:rsid w:val="673669FF"/>
    <w:rsid w:val="67380427"/>
    <w:rsid w:val="67393CB7"/>
    <w:rsid w:val="673C6439"/>
    <w:rsid w:val="67406A12"/>
    <w:rsid w:val="676A0B2B"/>
    <w:rsid w:val="676C3006"/>
    <w:rsid w:val="67827A7F"/>
    <w:rsid w:val="67A667D3"/>
    <w:rsid w:val="67A74C82"/>
    <w:rsid w:val="67A95111"/>
    <w:rsid w:val="67B845F6"/>
    <w:rsid w:val="67C365BF"/>
    <w:rsid w:val="67D8341E"/>
    <w:rsid w:val="67E46FF5"/>
    <w:rsid w:val="67ED6C16"/>
    <w:rsid w:val="680A6C82"/>
    <w:rsid w:val="68223FE0"/>
    <w:rsid w:val="6824034C"/>
    <w:rsid w:val="682E5ACE"/>
    <w:rsid w:val="68355718"/>
    <w:rsid w:val="683E3347"/>
    <w:rsid w:val="685E57CE"/>
    <w:rsid w:val="685F4AA0"/>
    <w:rsid w:val="68623D3F"/>
    <w:rsid w:val="68690D12"/>
    <w:rsid w:val="686C7E0A"/>
    <w:rsid w:val="68757042"/>
    <w:rsid w:val="687D6111"/>
    <w:rsid w:val="6886166B"/>
    <w:rsid w:val="688C683F"/>
    <w:rsid w:val="68954A3C"/>
    <w:rsid w:val="689B0DF8"/>
    <w:rsid w:val="689D1FA7"/>
    <w:rsid w:val="689E21E1"/>
    <w:rsid w:val="68A13DAC"/>
    <w:rsid w:val="68B5096E"/>
    <w:rsid w:val="68C77CB4"/>
    <w:rsid w:val="68CA16AC"/>
    <w:rsid w:val="68CC10BC"/>
    <w:rsid w:val="68CC52CB"/>
    <w:rsid w:val="68F44B09"/>
    <w:rsid w:val="68FA1B9A"/>
    <w:rsid w:val="68FE4B76"/>
    <w:rsid w:val="69022E76"/>
    <w:rsid w:val="691555DA"/>
    <w:rsid w:val="69344C1E"/>
    <w:rsid w:val="693C6C3B"/>
    <w:rsid w:val="694A5AE0"/>
    <w:rsid w:val="694E046E"/>
    <w:rsid w:val="696279DD"/>
    <w:rsid w:val="69652D27"/>
    <w:rsid w:val="696F21D5"/>
    <w:rsid w:val="696F6B93"/>
    <w:rsid w:val="698E07D2"/>
    <w:rsid w:val="698E5CD2"/>
    <w:rsid w:val="69952A0C"/>
    <w:rsid w:val="699A1218"/>
    <w:rsid w:val="699B4BDB"/>
    <w:rsid w:val="69A51678"/>
    <w:rsid w:val="69BB329B"/>
    <w:rsid w:val="69BD4C61"/>
    <w:rsid w:val="69C14B59"/>
    <w:rsid w:val="69C229DF"/>
    <w:rsid w:val="69E47708"/>
    <w:rsid w:val="69E623BC"/>
    <w:rsid w:val="69E629F3"/>
    <w:rsid w:val="69F5057B"/>
    <w:rsid w:val="69FC56C6"/>
    <w:rsid w:val="69FD3B6F"/>
    <w:rsid w:val="6A0065EF"/>
    <w:rsid w:val="6A0B281D"/>
    <w:rsid w:val="6A1C6862"/>
    <w:rsid w:val="6A1F1C32"/>
    <w:rsid w:val="6A2259D9"/>
    <w:rsid w:val="6A2C1D99"/>
    <w:rsid w:val="6A440E91"/>
    <w:rsid w:val="6A5064B5"/>
    <w:rsid w:val="6A5D0E85"/>
    <w:rsid w:val="6A616283"/>
    <w:rsid w:val="6A641407"/>
    <w:rsid w:val="6A656882"/>
    <w:rsid w:val="6A8B60FB"/>
    <w:rsid w:val="6A8E035E"/>
    <w:rsid w:val="6A9674BF"/>
    <w:rsid w:val="6A9A37E0"/>
    <w:rsid w:val="6AA604CA"/>
    <w:rsid w:val="6AB67B97"/>
    <w:rsid w:val="6ACB6C4D"/>
    <w:rsid w:val="6ADB41F3"/>
    <w:rsid w:val="6AE05B8B"/>
    <w:rsid w:val="6AFB4F4A"/>
    <w:rsid w:val="6AFC5C0F"/>
    <w:rsid w:val="6B12444F"/>
    <w:rsid w:val="6B2A12A7"/>
    <w:rsid w:val="6B2F1B41"/>
    <w:rsid w:val="6B3E60C8"/>
    <w:rsid w:val="6B4533C9"/>
    <w:rsid w:val="6B5C39DF"/>
    <w:rsid w:val="6B5E11EE"/>
    <w:rsid w:val="6B611EB1"/>
    <w:rsid w:val="6B643240"/>
    <w:rsid w:val="6B70119D"/>
    <w:rsid w:val="6B961766"/>
    <w:rsid w:val="6BAC4F3F"/>
    <w:rsid w:val="6BC8334A"/>
    <w:rsid w:val="6BD47294"/>
    <w:rsid w:val="6BD61A98"/>
    <w:rsid w:val="6BF77F96"/>
    <w:rsid w:val="6BFE19E1"/>
    <w:rsid w:val="6C050A47"/>
    <w:rsid w:val="6C07486C"/>
    <w:rsid w:val="6C0B1A74"/>
    <w:rsid w:val="6C16659B"/>
    <w:rsid w:val="6C19105E"/>
    <w:rsid w:val="6C260B97"/>
    <w:rsid w:val="6C27235B"/>
    <w:rsid w:val="6C28290B"/>
    <w:rsid w:val="6C30791F"/>
    <w:rsid w:val="6C3342D8"/>
    <w:rsid w:val="6C394A8B"/>
    <w:rsid w:val="6C420156"/>
    <w:rsid w:val="6C5142B7"/>
    <w:rsid w:val="6C554E54"/>
    <w:rsid w:val="6C622720"/>
    <w:rsid w:val="6C7457E7"/>
    <w:rsid w:val="6C7D6E82"/>
    <w:rsid w:val="6C8311C3"/>
    <w:rsid w:val="6C8C5C8D"/>
    <w:rsid w:val="6C8E2897"/>
    <w:rsid w:val="6C924BA3"/>
    <w:rsid w:val="6CA5691E"/>
    <w:rsid w:val="6CC96475"/>
    <w:rsid w:val="6CD14E74"/>
    <w:rsid w:val="6CFC1EEB"/>
    <w:rsid w:val="6CFD2D93"/>
    <w:rsid w:val="6D06067F"/>
    <w:rsid w:val="6D0B5F7A"/>
    <w:rsid w:val="6D1B3C07"/>
    <w:rsid w:val="6D290842"/>
    <w:rsid w:val="6D334FAA"/>
    <w:rsid w:val="6D3B2F57"/>
    <w:rsid w:val="6D3C3588"/>
    <w:rsid w:val="6D49223E"/>
    <w:rsid w:val="6D4B2536"/>
    <w:rsid w:val="6D571A6F"/>
    <w:rsid w:val="6D614E24"/>
    <w:rsid w:val="6D680792"/>
    <w:rsid w:val="6DAB0FE0"/>
    <w:rsid w:val="6DB427D1"/>
    <w:rsid w:val="6DB7283B"/>
    <w:rsid w:val="6DDC646C"/>
    <w:rsid w:val="6DEE7FF8"/>
    <w:rsid w:val="6DFA5DCC"/>
    <w:rsid w:val="6E0B6604"/>
    <w:rsid w:val="6E1E5CB1"/>
    <w:rsid w:val="6E360871"/>
    <w:rsid w:val="6E3A2CD6"/>
    <w:rsid w:val="6E51496A"/>
    <w:rsid w:val="6E7837D8"/>
    <w:rsid w:val="6E8555D0"/>
    <w:rsid w:val="6E876629"/>
    <w:rsid w:val="6E893B3A"/>
    <w:rsid w:val="6EA02DB6"/>
    <w:rsid w:val="6EB02F99"/>
    <w:rsid w:val="6ECE043D"/>
    <w:rsid w:val="6EDA7020"/>
    <w:rsid w:val="6EDF1C43"/>
    <w:rsid w:val="6EEE3AC1"/>
    <w:rsid w:val="6F08338C"/>
    <w:rsid w:val="6F086BFD"/>
    <w:rsid w:val="6F0E6B0E"/>
    <w:rsid w:val="6F492FDA"/>
    <w:rsid w:val="6F4A2C25"/>
    <w:rsid w:val="6F561A7D"/>
    <w:rsid w:val="6F6005AE"/>
    <w:rsid w:val="6F6F6877"/>
    <w:rsid w:val="6F793301"/>
    <w:rsid w:val="6F8E06AB"/>
    <w:rsid w:val="6FA629B9"/>
    <w:rsid w:val="6FB41CDF"/>
    <w:rsid w:val="6FC104BF"/>
    <w:rsid w:val="6FE52B7F"/>
    <w:rsid w:val="6FE81560"/>
    <w:rsid w:val="6FE832DA"/>
    <w:rsid w:val="70047746"/>
    <w:rsid w:val="70090C45"/>
    <w:rsid w:val="700C404D"/>
    <w:rsid w:val="700F6510"/>
    <w:rsid w:val="70180DF5"/>
    <w:rsid w:val="701B22C2"/>
    <w:rsid w:val="704A18A5"/>
    <w:rsid w:val="704D54BA"/>
    <w:rsid w:val="70535193"/>
    <w:rsid w:val="705353D7"/>
    <w:rsid w:val="70567B70"/>
    <w:rsid w:val="70595CFD"/>
    <w:rsid w:val="70731CBA"/>
    <w:rsid w:val="70761500"/>
    <w:rsid w:val="70AB2A5F"/>
    <w:rsid w:val="70AC08A3"/>
    <w:rsid w:val="70BB3FEA"/>
    <w:rsid w:val="70C40F6B"/>
    <w:rsid w:val="70E43FFB"/>
    <w:rsid w:val="70E72450"/>
    <w:rsid w:val="70E909E4"/>
    <w:rsid w:val="70F27898"/>
    <w:rsid w:val="70FF2B52"/>
    <w:rsid w:val="71053071"/>
    <w:rsid w:val="710C10F0"/>
    <w:rsid w:val="710C4547"/>
    <w:rsid w:val="71146B3B"/>
    <w:rsid w:val="711E1A75"/>
    <w:rsid w:val="712155C9"/>
    <w:rsid w:val="7128341B"/>
    <w:rsid w:val="712F289B"/>
    <w:rsid w:val="71530C93"/>
    <w:rsid w:val="71573ACB"/>
    <w:rsid w:val="715E5257"/>
    <w:rsid w:val="718176C8"/>
    <w:rsid w:val="718A6573"/>
    <w:rsid w:val="719C7804"/>
    <w:rsid w:val="71A315DF"/>
    <w:rsid w:val="71B00D22"/>
    <w:rsid w:val="71BB1264"/>
    <w:rsid w:val="71C14470"/>
    <w:rsid w:val="71D260B4"/>
    <w:rsid w:val="71D8375D"/>
    <w:rsid w:val="71DD01AD"/>
    <w:rsid w:val="71DD241B"/>
    <w:rsid w:val="71E01DDD"/>
    <w:rsid w:val="71F2621E"/>
    <w:rsid w:val="72077F76"/>
    <w:rsid w:val="723A2626"/>
    <w:rsid w:val="723D68AF"/>
    <w:rsid w:val="724721AC"/>
    <w:rsid w:val="724E3C2C"/>
    <w:rsid w:val="724F2AC9"/>
    <w:rsid w:val="72705108"/>
    <w:rsid w:val="72872262"/>
    <w:rsid w:val="72944546"/>
    <w:rsid w:val="729452D5"/>
    <w:rsid w:val="729A3D44"/>
    <w:rsid w:val="72B739A4"/>
    <w:rsid w:val="72F657B0"/>
    <w:rsid w:val="72FBE7D6"/>
    <w:rsid w:val="72FC409A"/>
    <w:rsid w:val="73032FC0"/>
    <w:rsid w:val="730F48D7"/>
    <w:rsid w:val="73253B84"/>
    <w:rsid w:val="73281A91"/>
    <w:rsid w:val="732A2485"/>
    <w:rsid w:val="732A3372"/>
    <w:rsid w:val="733D0BED"/>
    <w:rsid w:val="73423CC6"/>
    <w:rsid w:val="734463B8"/>
    <w:rsid w:val="734F4226"/>
    <w:rsid w:val="735321EF"/>
    <w:rsid w:val="73613DC2"/>
    <w:rsid w:val="738707F8"/>
    <w:rsid w:val="738754CA"/>
    <w:rsid w:val="738B6F89"/>
    <w:rsid w:val="739D3646"/>
    <w:rsid w:val="73AF1CC4"/>
    <w:rsid w:val="73B24691"/>
    <w:rsid w:val="73B44AF9"/>
    <w:rsid w:val="73C056D8"/>
    <w:rsid w:val="73C83268"/>
    <w:rsid w:val="73CB6AC4"/>
    <w:rsid w:val="73CE2E79"/>
    <w:rsid w:val="73ED1A3A"/>
    <w:rsid w:val="73F05696"/>
    <w:rsid w:val="73F50B6F"/>
    <w:rsid w:val="74024213"/>
    <w:rsid w:val="74042527"/>
    <w:rsid w:val="74082FD3"/>
    <w:rsid w:val="740A4B39"/>
    <w:rsid w:val="74146799"/>
    <w:rsid w:val="741A1B16"/>
    <w:rsid w:val="741B3D04"/>
    <w:rsid w:val="741E67C6"/>
    <w:rsid w:val="742C5E27"/>
    <w:rsid w:val="74551D23"/>
    <w:rsid w:val="745B58B0"/>
    <w:rsid w:val="745D7B18"/>
    <w:rsid w:val="745F299C"/>
    <w:rsid w:val="746F1484"/>
    <w:rsid w:val="74974543"/>
    <w:rsid w:val="74A14CC6"/>
    <w:rsid w:val="74A36CEC"/>
    <w:rsid w:val="74B50BE4"/>
    <w:rsid w:val="74B800CA"/>
    <w:rsid w:val="74C53F10"/>
    <w:rsid w:val="74D9546A"/>
    <w:rsid w:val="74F55B27"/>
    <w:rsid w:val="752968DA"/>
    <w:rsid w:val="753D165B"/>
    <w:rsid w:val="75511543"/>
    <w:rsid w:val="756B2471"/>
    <w:rsid w:val="75726F76"/>
    <w:rsid w:val="75760D96"/>
    <w:rsid w:val="757C1E26"/>
    <w:rsid w:val="758D6086"/>
    <w:rsid w:val="758F1A33"/>
    <w:rsid w:val="75B04FED"/>
    <w:rsid w:val="75B340EE"/>
    <w:rsid w:val="75C13CDD"/>
    <w:rsid w:val="75E05B69"/>
    <w:rsid w:val="75E55443"/>
    <w:rsid w:val="75F8009A"/>
    <w:rsid w:val="760161F4"/>
    <w:rsid w:val="761941D4"/>
    <w:rsid w:val="761D64FD"/>
    <w:rsid w:val="763149BF"/>
    <w:rsid w:val="763A3819"/>
    <w:rsid w:val="763A6AF3"/>
    <w:rsid w:val="76434DFC"/>
    <w:rsid w:val="76471DE8"/>
    <w:rsid w:val="764C1D57"/>
    <w:rsid w:val="76654669"/>
    <w:rsid w:val="76694A23"/>
    <w:rsid w:val="766C59F7"/>
    <w:rsid w:val="76700FC9"/>
    <w:rsid w:val="76701D3D"/>
    <w:rsid w:val="76935753"/>
    <w:rsid w:val="76951140"/>
    <w:rsid w:val="76974BD9"/>
    <w:rsid w:val="76977026"/>
    <w:rsid w:val="76A70C95"/>
    <w:rsid w:val="76A93CE9"/>
    <w:rsid w:val="76AC04E9"/>
    <w:rsid w:val="76D15D09"/>
    <w:rsid w:val="76E61C4D"/>
    <w:rsid w:val="76EB626F"/>
    <w:rsid w:val="76F57B1F"/>
    <w:rsid w:val="770E1875"/>
    <w:rsid w:val="771349E5"/>
    <w:rsid w:val="7714635C"/>
    <w:rsid w:val="771C30FA"/>
    <w:rsid w:val="77206134"/>
    <w:rsid w:val="772F3A61"/>
    <w:rsid w:val="77336738"/>
    <w:rsid w:val="773553A7"/>
    <w:rsid w:val="77524A58"/>
    <w:rsid w:val="77580A66"/>
    <w:rsid w:val="775B015E"/>
    <w:rsid w:val="777D20D6"/>
    <w:rsid w:val="778742A7"/>
    <w:rsid w:val="778D01FE"/>
    <w:rsid w:val="77A3436B"/>
    <w:rsid w:val="77B804F8"/>
    <w:rsid w:val="77B86288"/>
    <w:rsid w:val="77D777E8"/>
    <w:rsid w:val="77DD5D14"/>
    <w:rsid w:val="77F437B1"/>
    <w:rsid w:val="77F85931"/>
    <w:rsid w:val="7805064B"/>
    <w:rsid w:val="780738D1"/>
    <w:rsid w:val="780C14DF"/>
    <w:rsid w:val="780F0D30"/>
    <w:rsid w:val="78150891"/>
    <w:rsid w:val="782226C6"/>
    <w:rsid w:val="78263974"/>
    <w:rsid w:val="783D4AFF"/>
    <w:rsid w:val="784D30F3"/>
    <w:rsid w:val="785031C4"/>
    <w:rsid w:val="78693C27"/>
    <w:rsid w:val="788A2C6A"/>
    <w:rsid w:val="789C1B98"/>
    <w:rsid w:val="78AD0D21"/>
    <w:rsid w:val="78B73B4F"/>
    <w:rsid w:val="78B934ED"/>
    <w:rsid w:val="78C37C8A"/>
    <w:rsid w:val="78DE2D7C"/>
    <w:rsid w:val="78F468F4"/>
    <w:rsid w:val="7922596C"/>
    <w:rsid w:val="792F01A6"/>
    <w:rsid w:val="79382965"/>
    <w:rsid w:val="793B3189"/>
    <w:rsid w:val="794C1894"/>
    <w:rsid w:val="795161CA"/>
    <w:rsid w:val="79820F11"/>
    <w:rsid w:val="79842192"/>
    <w:rsid w:val="799E6545"/>
    <w:rsid w:val="799F228B"/>
    <w:rsid w:val="79A81252"/>
    <w:rsid w:val="79A90CA8"/>
    <w:rsid w:val="79AC037E"/>
    <w:rsid w:val="79B4594A"/>
    <w:rsid w:val="79B6477C"/>
    <w:rsid w:val="79B978EA"/>
    <w:rsid w:val="79BC708D"/>
    <w:rsid w:val="79D77FF8"/>
    <w:rsid w:val="79EB1C7D"/>
    <w:rsid w:val="79F07309"/>
    <w:rsid w:val="79FB1EE7"/>
    <w:rsid w:val="7A0349BA"/>
    <w:rsid w:val="7A146AD1"/>
    <w:rsid w:val="7A1B476E"/>
    <w:rsid w:val="7A2A5E86"/>
    <w:rsid w:val="7A3C3FD7"/>
    <w:rsid w:val="7A471A2B"/>
    <w:rsid w:val="7A50702E"/>
    <w:rsid w:val="7A752301"/>
    <w:rsid w:val="7A8552D9"/>
    <w:rsid w:val="7A867D5E"/>
    <w:rsid w:val="7A9722EA"/>
    <w:rsid w:val="7A99237D"/>
    <w:rsid w:val="7AA274F5"/>
    <w:rsid w:val="7AAD4830"/>
    <w:rsid w:val="7AB14807"/>
    <w:rsid w:val="7AE916A0"/>
    <w:rsid w:val="7AE959CB"/>
    <w:rsid w:val="7AEE2741"/>
    <w:rsid w:val="7AF27BF0"/>
    <w:rsid w:val="7AFC3F4F"/>
    <w:rsid w:val="7AFC6FE5"/>
    <w:rsid w:val="7B095F0A"/>
    <w:rsid w:val="7B13662A"/>
    <w:rsid w:val="7B1A6AB5"/>
    <w:rsid w:val="7B327BB5"/>
    <w:rsid w:val="7B33563C"/>
    <w:rsid w:val="7B4C0E94"/>
    <w:rsid w:val="7B5431F5"/>
    <w:rsid w:val="7B5737ED"/>
    <w:rsid w:val="7B594633"/>
    <w:rsid w:val="7B763FD0"/>
    <w:rsid w:val="7B8D6D12"/>
    <w:rsid w:val="7B8F2DE3"/>
    <w:rsid w:val="7B9147B3"/>
    <w:rsid w:val="7BAC1017"/>
    <w:rsid w:val="7BAD61AB"/>
    <w:rsid w:val="7BAE0225"/>
    <w:rsid w:val="7BB27900"/>
    <w:rsid w:val="7BC5015F"/>
    <w:rsid w:val="7BDB40C8"/>
    <w:rsid w:val="7BEA1762"/>
    <w:rsid w:val="7BFB35ED"/>
    <w:rsid w:val="7BFC639E"/>
    <w:rsid w:val="7C052E28"/>
    <w:rsid w:val="7C0663D3"/>
    <w:rsid w:val="7C067B78"/>
    <w:rsid w:val="7C08260A"/>
    <w:rsid w:val="7C1060A4"/>
    <w:rsid w:val="7C212B16"/>
    <w:rsid w:val="7C344D27"/>
    <w:rsid w:val="7C6034EF"/>
    <w:rsid w:val="7C713B95"/>
    <w:rsid w:val="7C7C44BA"/>
    <w:rsid w:val="7C8F3841"/>
    <w:rsid w:val="7C927737"/>
    <w:rsid w:val="7CAB244D"/>
    <w:rsid w:val="7CB14283"/>
    <w:rsid w:val="7CC3033B"/>
    <w:rsid w:val="7CC540B3"/>
    <w:rsid w:val="7CDD49A2"/>
    <w:rsid w:val="7CE055BA"/>
    <w:rsid w:val="7CFC1051"/>
    <w:rsid w:val="7D0304AC"/>
    <w:rsid w:val="7D116999"/>
    <w:rsid w:val="7D15058B"/>
    <w:rsid w:val="7D157DA1"/>
    <w:rsid w:val="7D213138"/>
    <w:rsid w:val="7D222D25"/>
    <w:rsid w:val="7D2406DD"/>
    <w:rsid w:val="7D2521B2"/>
    <w:rsid w:val="7D317598"/>
    <w:rsid w:val="7D3230DC"/>
    <w:rsid w:val="7D3F5A81"/>
    <w:rsid w:val="7D417612"/>
    <w:rsid w:val="7D436814"/>
    <w:rsid w:val="7D4D08D5"/>
    <w:rsid w:val="7D551F58"/>
    <w:rsid w:val="7D60202E"/>
    <w:rsid w:val="7D6A282B"/>
    <w:rsid w:val="7D6B7FF7"/>
    <w:rsid w:val="7D7F5DD6"/>
    <w:rsid w:val="7D815226"/>
    <w:rsid w:val="7D8A1A91"/>
    <w:rsid w:val="7DB97E53"/>
    <w:rsid w:val="7DC82575"/>
    <w:rsid w:val="7DCE7506"/>
    <w:rsid w:val="7DCF14E3"/>
    <w:rsid w:val="7DF04831"/>
    <w:rsid w:val="7DF22A1C"/>
    <w:rsid w:val="7DF86D46"/>
    <w:rsid w:val="7E0E1134"/>
    <w:rsid w:val="7E127F7F"/>
    <w:rsid w:val="7E282CD5"/>
    <w:rsid w:val="7E2A37DA"/>
    <w:rsid w:val="7E327526"/>
    <w:rsid w:val="7E36650C"/>
    <w:rsid w:val="7E3672A9"/>
    <w:rsid w:val="7E4618EE"/>
    <w:rsid w:val="7E47133D"/>
    <w:rsid w:val="7E49452F"/>
    <w:rsid w:val="7E577B57"/>
    <w:rsid w:val="7E590F57"/>
    <w:rsid w:val="7E5A03C7"/>
    <w:rsid w:val="7E7A400D"/>
    <w:rsid w:val="7E834226"/>
    <w:rsid w:val="7E872237"/>
    <w:rsid w:val="7E873820"/>
    <w:rsid w:val="7E8C3F75"/>
    <w:rsid w:val="7E9832EF"/>
    <w:rsid w:val="7EA15A27"/>
    <w:rsid w:val="7EA63DDD"/>
    <w:rsid w:val="7EA74DA5"/>
    <w:rsid w:val="7EA80241"/>
    <w:rsid w:val="7EAB6E1B"/>
    <w:rsid w:val="7EBD3AB6"/>
    <w:rsid w:val="7ED378A3"/>
    <w:rsid w:val="7ED76DD4"/>
    <w:rsid w:val="7EE354CD"/>
    <w:rsid w:val="7EF1E34E"/>
    <w:rsid w:val="7EF26CB5"/>
    <w:rsid w:val="7EFD24F6"/>
    <w:rsid w:val="7EFF4F59"/>
    <w:rsid w:val="7F06366D"/>
    <w:rsid w:val="7F13011A"/>
    <w:rsid w:val="7F3814A3"/>
    <w:rsid w:val="7F4A08A0"/>
    <w:rsid w:val="7F536596"/>
    <w:rsid w:val="7F5456A0"/>
    <w:rsid w:val="7F5C0130"/>
    <w:rsid w:val="7F6C2F0C"/>
    <w:rsid w:val="7F79289E"/>
    <w:rsid w:val="7F8F1F7C"/>
    <w:rsid w:val="7F9A1827"/>
    <w:rsid w:val="7FA8445B"/>
    <w:rsid w:val="7FAA0903"/>
    <w:rsid w:val="7FAB7D12"/>
    <w:rsid w:val="7FC164F8"/>
    <w:rsid w:val="7FCA114D"/>
    <w:rsid w:val="7FD338C7"/>
    <w:rsid w:val="7FD422E4"/>
    <w:rsid w:val="7FE97674"/>
    <w:rsid w:val="7FEA0101"/>
    <w:rsid w:val="7FFB9710"/>
    <w:rsid w:val="93BE3014"/>
    <w:rsid w:val="9BFF58C8"/>
    <w:rsid w:val="BF3F3F10"/>
    <w:rsid w:val="BF7F57B2"/>
    <w:rsid w:val="DFBEF967"/>
    <w:rsid w:val="DFDE546F"/>
    <w:rsid w:val="EFD84234"/>
    <w:rsid w:val="FACFDD2A"/>
    <w:rsid w:val="FCFF946F"/>
    <w:rsid w:val="FEFF3135"/>
    <w:rsid w:val="FF72D722"/>
    <w:rsid w:val="FFBF122C"/>
    <w:rsid w:val="FFF977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qFormat="1" w:unhideWhenUsed="0"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iPriority="99"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qFormat="1" w:uiPriority="0" w:name="Body Text First Indent"/>
    <w:lsdException w:qFormat="1" w:unhideWhenUsed="0" w:uiPriority="99" w:semiHidden="0" w:name="Body Text First Indent 2"/>
    <w:lsdException w:uiPriority="99" w:name="Note Heading"/>
    <w:lsdException w:uiPriority="99"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5"/>
    <w:qFormat/>
    <w:uiPriority w:val="0"/>
    <w:pPr>
      <w:keepNext/>
      <w:keepLines/>
      <w:numPr>
        <w:ilvl w:val="0"/>
        <w:numId w:val="1"/>
      </w:numPr>
      <w:spacing w:before="340" w:after="330" w:line="578" w:lineRule="auto"/>
      <w:ind w:left="0"/>
      <w:jc w:val="center"/>
      <w:outlineLvl w:val="0"/>
    </w:pPr>
    <w:rPr>
      <w:b/>
      <w:bCs/>
      <w:kern w:val="44"/>
      <w:sz w:val="32"/>
      <w:szCs w:val="44"/>
    </w:rPr>
  </w:style>
  <w:style w:type="paragraph" w:styleId="3">
    <w:name w:val="heading 2"/>
    <w:basedOn w:val="1"/>
    <w:next w:val="1"/>
    <w:link w:val="71"/>
    <w:qFormat/>
    <w:uiPriority w:val="0"/>
    <w:pPr>
      <w:keepNext/>
      <w:keepLines/>
      <w:numPr>
        <w:ilvl w:val="1"/>
        <w:numId w:val="1"/>
      </w:numPr>
      <w:spacing w:before="260" w:after="260" w:line="416" w:lineRule="auto"/>
      <w:outlineLvl w:val="1"/>
    </w:pPr>
    <w:rPr>
      <w:rFonts w:ascii="Cambria" w:hAnsi="Cambria"/>
      <w:b/>
      <w:bCs/>
      <w:sz w:val="32"/>
      <w:szCs w:val="32"/>
    </w:rPr>
  </w:style>
  <w:style w:type="paragraph" w:styleId="4">
    <w:name w:val="heading 3"/>
    <w:basedOn w:val="1"/>
    <w:next w:val="1"/>
    <w:link w:val="110"/>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147"/>
    <w:qFormat/>
    <w:uiPriority w:val="0"/>
    <w:pPr>
      <w:keepNext/>
      <w:keepLines/>
      <w:numPr>
        <w:ilvl w:val="3"/>
        <w:numId w:val="1"/>
      </w:numPr>
      <w:spacing w:before="280" w:after="290" w:line="376" w:lineRule="auto"/>
      <w:outlineLvl w:val="3"/>
    </w:pPr>
    <w:rPr>
      <w:rFonts w:ascii="Cambria" w:hAnsi="Cambria"/>
      <w:b/>
      <w:bCs/>
      <w:sz w:val="28"/>
      <w:szCs w:val="28"/>
    </w:rPr>
  </w:style>
  <w:style w:type="paragraph" w:styleId="6">
    <w:name w:val="heading 5"/>
    <w:basedOn w:val="1"/>
    <w:next w:val="1"/>
    <w:link w:val="100"/>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86"/>
    <w:qFormat/>
    <w:uiPriority w:val="0"/>
    <w:pPr>
      <w:keepNext/>
      <w:keepLines/>
      <w:numPr>
        <w:ilvl w:val="5"/>
        <w:numId w:val="1"/>
      </w:numPr>
      <w:spacing w:before="240" w:after="64" w:line="320" w:lineRule="auto"/>
      <w:outlineLvl w:val="5"/>
    </w:pPr>
    <w:rPr>
      <w:rFonts w:ascii="Cambria" w:hAnsi="Cambria"/>
      <w:b/>
      <w:bCs/>
      <w:sz w:val="24"/>
    </w:rPr>
  </w:style>
  <w:style w:type="paragraph" w:styleId="8">
    <w:name w:val="heading 7"/>
    <w:basedOn w:val="1"/>
    <w:next w:val="1"/>
    <w:link w:val="141"/>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link w:val="126"/>
    <w:qFormat/>
    <w:uiPriority w:val="0"/>
    <w:pPr>
      <w:keepNext/>
      <w:keepLines/>
      <w:numPr>
        <w:ilvl w:val="7"/>
        <w:numId w:val="1"/>
      </w:numPr>
      <w:spacing w:before="240" w:after="64" w:line="320" w:lineRule="auto"/>
      <w:outlineLvl w:val="7"/>
    </w:pPr>
    <w:rPr>
      <w:rFonts w:ascii="Cambria" w:hAnsi="Cambria"/>
      <w:sz w:val="24"/>
    </w:rPr>
  </w:style>
  <w:style w:type="paragraph" w:styleId="10">
    <w:name w:val="heading 9"/>
    <w:basedOn w:val="1"/>
    <w:next w:val="1"/>
    <w:link w:val="104"/>
    <w:qFormat/>
    <w:uiPriority w:val="0"/>
    <w:pPr>
      <w:keepNext/>
      <w:keepLines/>
      <w:numPr>
        <w:ilvl w:val="8"/>
        <w:numId w:val="1"/>
      </w:numPr>
      <w:spacing w:before="240" w:after="64" w:line="320" w:lineRule="auto"/>
      <w:outlineLvl w:val="8"/>
    </w:pPr>
    <w:rPr>
      <w:rFonts w:ascii="Cambria" w:hAnsi="Cambria"/>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11">
    <w:name w:val="List 3"/>
    <w:basedOn w:val="1"/>
    <w:unhideWhenUsed/>
    <w:qFormat/>
    <w:uiPriority w:val="99"/>
    <w:pPr>
      <w:spacing w:before="100" w:beforeAutospacing="1" w:after="100" w:afterAutospacing="1"/>
      <w:ind w:left="1260" w:hanging="420"/>
    </w:pPr>
    <w:rPr>
      <w:szCs w:val="21"/>
    </w:rPr>
  </w:style>
  <w:style w:type="paragraph" w:styleId="12">
    <w:name w:val="toc 7"/>
    <w:basedOn w:val="1"/>
    <w:next w:val="1"/>
    <w:unhideWhenUsed/>
    <w:qFormat/>
    <w:uiPriority w:val="39"/>
    <w:pPr>
      <w:ind w:left="2520" w:leftChars="1200"/>
    </w:pPr>
    <w:rPr>
      <w:rFonts w:ascii="Calibri" w:hAnsi="Calibri"/>
      <w:szCs w:val="22"/>
    </w:rPr>
  </w:style>
  <w:style w:type="paragraph" w:styleId="13">
    <w:name w:val="Normal Indent"/>
    <w:basedOn w:val="1"/>
    <w:next w:val="1"/>
    <w:qFormat/>
    <w:uiPriority w:val="0"/>
    <w:pPr>
      <w:ind w:firstLine="420"/>
    </w:pPr>
    <w:rPr>
      <w:b/>
      <w:sz w:val="24"/>
      <w:szCs w:val="20"/>
    </w:rPr>
  </w:style>
  <w:style w:type="paragraph" w:styleId="14">
    <w:name w:val="caption"/>
    <w:basedOn w:val="1"/>
    <w:next w:val="1"/>
    <w:qFormat/>
    <w:uiPriority w:val="0"/>
    <w:rPr>
      <w:rFonts w:ascii="Cambria" w:hAnsi="Cambria" w:eastAsia="黑体"/>
      <w:sz w:val="20"/>
      <w:szCs w:val="22"/>
    </w:rPr>
  </w:style>
  <w:style w:type="paragraph" w:styleId="15">
    <w:name w:val="Document Map"/>
    <w:basedOn w:val="1"/>
    <w:link w:val="94"/>
    <w:qFormat/>
    <w:uiPriority w:val="0"/>
    <w:rPr>
      <w:rFonts w:ascii="宋体"/>
      <w:sz w:val="18"/>
      <w:szCs w:val="18"/>
    </w:rPr>
  </w:style>
  <w:style w:type="paragraph" w:styleId="16">
    <w:name w:val="annotation text"/>
    <w:basedOn w:val="1"/>
    <w:link w:val="118"/>
    <w:qFormat/>
    <w:uiPriority w:val="0"/>
    <w:pPr>
      <w:jc w:val="left"/>
    </w:pPr>
  </w:style>
  <w:style w:type="paragraph" w:styleId="17">
    <w:name w:val="Body Text 3"/>
    <w:basedOn w:val="1"/>
    <w:link w:val="137"/>
    <w:qFormat/>
    <w:uiPriority w:val="0"/>
    <w:rPr>
      <w:rFonts w:ascii="宋体"/>
      <w:sz w:val="24"/>
      <w:szCs w:val="20"/>
    </w:rPr>
  </w:style>
  <w:style w:type="paragraph" w:styleId="18">
    <w:name w:val="Body Text"/>
    <w:basedOn w:val="1"/>
    <w:next w:val="19"/>
    <w:link w:val="125"/>
    <w:qFormat/>
    <w:uiPriority w:val="0"/>
    <w:pPr>
      <w:jc w:val="center"/>
    </w:pPr>
    <w:rPr>
      <w:rFonts w:eastAsia="幼圆"/>
      <w:b/>
      <w:bCs/>
      <w:sz w:val="44"/>
    </w:rPr>
  </w:style>
  <w:style w:type="paragraph" w:styleId="19">
    <w:name w:val="Body Text First Indent"/>
    <w:basedOn w:val="18"/>
    <w:semiHidden/>
    <w:unhideWhenUsed/>
    <w:qFormat/>
    <w:uiPriority w:val="0"/>
    <w:pPr>
      <w:spacing w:after="120"/>
      <w:ind w:firstLine="420"/>
      <w:jc w:val="both"/>
    </w:pPr>
    <w:rPr>
      <w:rFonts w:eastAsia="宋体"/>
      <w:b w:val="0"/>
      <w:bCs w:val="0"/>
      <w:sz w:val="21"/>
    </w:rPr>
  </w:style>
  <w:style w:type="paragraph" w:styleId="20">
    <w:name w:val="Body Text Indent"/>
    <w:basedOn w:val="1"/>
    <w:link w:val="81"/>
    <w:qFormat/>
    <w:uiPriority w:val="0"/>
    <w:pPr>
      <w:spacing w:after="120"/>
      <w:ind w:left="420" w:leftChars="200"/>
    </w:pPr>
  </w:style>
  <w:style w:type="paragraph" w:styleId="21">
    <w:name w:val="index 4"/>
    <w:basedOn w:val="1"/>
    <w:next w:val="1"/>
    <w:qFormat/>
    <w:uiPriority w:val="0"/>
    <w:pPr>
      <w:ind w:left="600" w:leftChars="600"/>
    </w:pPr>
    <w:rPr>
      <w:rFonts w:ascii="Calibri" w:hAnsi="Calibri"/>
    </w:rPr>
  </w:style>
  <w:style w:type="paragraph" w:styleId="22">
    <w:name w:val="toc 5"/>
    <w:basedOn w:val="1"/>
    <w:next w:val="1"/>
    <w:unhideWhenUsed/>
    <w:qFormat/>
    <w:uiPriority w:val="39"/>
    <w:pPr>
      <w:ind w:left="1680" w:leftChars="800"/>
    </w:pPr>
    <w:rPr>
      <w:rFonts w:ascii="Calibri" w:hAnsi="Calibri"/>
      <w:szCs w:val="22"/>
    </w:rPr>
  </w:style>
  <w:style w:type="paragraph" w:styleId="23">
    <w:name w:val="toc 3"/>
    <w:basedOn w:val="1"/>
    <w:next w:val="1"/>
    <w:qFormat/>
    <w:uiPriority w:val="39"/>
    <w:pPr>
      <w:ind w:left="840" w:leftChars="400"/>
    </w:pPr>
    <w:rPr>
      <w:rFonts w:ascii="Calibri" w:hAnsi="Calibri"/>
      <w:szCs w:val="22"/>
    </w:rPr>
  </w:style>
  <w:style w:type="paragraph" w:styleId="24">
    <w:name w:val="Plain Text"/>
    <w:basedOn w:val="1"/>
    <w:link w:val="87"/>
    <w:qFormat/>
    <w:uiPriority w:val="0"/>
    <w:rPr>
      <w:rFonts w:ascii="Ari"/>
    </w:rPr>
  </w:style>
  <w:style w:type="paragraph" w:styleId="25">
    <w:name w:val="toc 8"/>
    <w:basedOn w:val="1"/>
    <w:next w:val="1"/>
    <w:unhideWhenUsed/>
    <w:qFormat/>
    <w:uiPriority w:val="39"/>
    <w:pPr>
      <w:ind w:left="2940" w:leftChars="1400"/>
    </w:pPr>
    <w:rPr>
      <w:rFonts w:ascii="Calibri" w:hAnsi="Calibri"/>
      <w:szCs w:val="22"/>
    </w:rPr>
  </w:style>
  <w:style w:type="paragraph" w:styleId="26">
    <w:name w:val="Date"/>
    <w:basedOn w:val="1"/>
    <w:next w:val="1"/>
    <w:link w:val="95"/>
    <w:unhideWhenUsed/>
    <w:qFormat/>
    <w:uiPriority w:val="0"/>
  </w:style>
  <w:style w:type="paragraph" w:styleId="27">
    <w:name w:val="Body Text Indent 2"/>
    <w:basedOn w:val="1"/>
    <w:link w:val="117"/>
    <w:unhideWhenUsed/>
    <w:qFormat/>
    <w:uiPriority w:val="99"/>
    <w:pPr>
      <w:spacing w:line="420" w:lineRule="exact"/>
      <w:ind w:firstLine="525"/>
    </w:pPr>
    <w:rPr>
      <w:rFonts w:ascii="宋体"/>
      <w:kern w:val="0"/>
      <w:sz w:val="20"/>
      <w:szCs w:val="20"/>
    </w:rPr>
  </w:style>
  <w:style w:type="paragraph" w:styleId="28">
    <w:name w:val="Balloon Text"/>
    <w:basedOn w:val="1"/>
    <w:link w:val="140"/>
    <w:qFormat/>
    <w:uiPriority w:val="0"/>
    <w:rPr>
      <w:sz w:val="18"/>
      <w:szCs w:val="18"/>
    </w:rPr>
  </w:style>
  <w:style w:type="paragraph" w:styleId="29">
    <w:name w:val="footer"/>
    <w:basedOn w:val="1"/>
    <w:link w:val="130"/>
    <w:qFormat/>
    <w:uiPriority w:val="99"/>
    <w:pPr>
      <w:tabs>
        <w:tab w:val="center" w:pos="4153"/>
        <w:tab w:val="right" w:pos="8306"/>
      </w:tabs>
      <w:snapToGrid w:val="0"/>
      <w:jc w:val="left"/>
    </w:pPr>
    <w:rPr>
      <w:sz w:val="18"/>
      <w:szCs w:val="18"/>
    </w:rPr>
  </w:style>
  <w:style w:type="paragraph" w:styleId="30">
    <w:name w:val="header"/>
    <w:basedOn w:val="1"/>
    <w:link w:val="85"/>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style>
  <w:style w:type="paragraph" w:styleId="32">
    <w:name w:val="toc 4"/>
    <w:basedOn w:val="1"/>
    <w:next w:val="1"/>
    <w:unhideWhenUsed/>
    <w:qFormat/>
    <w:uiPriority w:val="39"/>
    <w:pPr>
      <w:ind w:left="1260" w:leftChars="600"/>
    </w:pPr>
    <w:rPr>
      <w:rFonts w:ascii="Calibri" w:hAnsi="Calibri"/>
      <w:szCs w:val="22"/>
    </w:rPr>
  </w:style>
  <w:style w:type="paragraph" w:styleId="33">
    <w:name w:val="index heading"/>
    <w:basedOn w:val="1"/>
    <w:next w:val="34"/>
    <w:unhideWhenUsed/>
    <w:qFormat/>
    <w:uiPriority w:val="99"/>
    <w:pPr>
      <w:tabs>
        <w:tab w:val="left" w:pos="240"/>
      </w:tabs>
    </w:pPr>
  </w:style>
  <w:style w:type="paragraph" w:styleId="34">
    <w:name w:val="index 1"/>
    <w:basedOn w:val="1"/>
    <w:next w:val="1"/>
    <w:qFormat/>
    <w:uiPriority w:val="0"/>
    <w:pPr>
      <w:spacing w:line="220" w:lineRule="exact"/>
      <w:jc w:val="center"/>
    </w:pPr>
    <w:rPr>
      <w:rFonts w:ascii="仿宋_GB2312" w:hAnsi="Calibri" w:eastAsia="仿宋_GB2312"/>
      <w:szCs w:val="22"/>
    </w:rPr>
  </w:style>
  <w:style w:type="paragraph" w:styleId="35">
    <w:name w:val="Subtitle"/>
    <w:basedOn w:val="1"/>
    <w:next w:val="1"/>
    <w:link w:val="113"/>
    <w:qFormat/>
    <w:uiPriority w:val="0"/>
    <w:pPr>
      <w:spacing w:before="240" w:after="60" w:line="312" w:lineRule="auto"/>
      <w:jc w:val="center"/>
      <w:outlineLvl w:val="1"/>
    </w:pPr>
    <w:rPr>
      <w:rFonts w:ascii="Cambria" w:hAnsi="Cambria"/>
      <w:b/>
      <w:bCs/>
      <w:kern w:val="28"/>
      <w:sz w:val="32"/>
      <w:szCs w:val="32"/>
    </w:rPr>
  </w:style>
  <w:style w:type="paragraph" w:styleId="36">
    <w:name w:val="toc 6"/>
    <w:basedOn w:val="1"/>
    <w:next w:val="1"/>
    <w:unhideWhenUsed/>
    <w:qFormat/>
    <w:uiPriority w:val="39"/>
    <w:pPr>
      <w:ind w:left="2100" w:leftChars="1000"/>
    </w:pPr>
    <w:rPr>
      <w:rFonts w:ascii="Calibri" w:hAnsi="Calibri"/>
      <w:szCs w:val="22"/>
    </w:rPr>
  </w:style>
  <w:style w:type="paragraph" w:styleId="37">
    <w:name w:val="Body Text Indent 3"/>
    <w:basedOn w:val="1"/>
    <w:link w:val="138"/>
    <w:qFormat/>
    <w:uiPriority w:val="0"/>
    <w:pPr>
      <w:spacing w:after="120"/>
      <w:ind w:left="420" w:leftChars="200"/>
    </w:pPr>
    <w:rPr>
      <w:sz w:val="16"/>
      <w:szCs w:val="20"/>
    </w:rPr>
  </w:style>
  <w:style w:type="paragraph" w:styleId="38">
    <w:name w:val="index 7"/>
    <w:basedOn w:val="1"/>
    <w:next w:val="1"/>
    <w:semiHidden/>
    <w:qFormat/>
    <w:uiPriority w:val="99"/>
    <w:pPr>
      <w:ind w:left="2520"/>
    </w:pPr>
  </w:style>
  <w:style w:type="paragraph" w:styleId="39">
    <w:name w:val="toc 2"/>
    <w:basedOn w:val="1"/>
    <w:next w:val="1"/>
    <w:qFormat/>
    <w:uiPriority w:val="39"/>
    <w:pPr>
      <w:ind w:left="420" w:leftChars="200"/>
    </w:pPr>
    <w:rPr>
      <w:rFonts w:ascii="Calibri" w:hAnsi="Calibri"/>
      <w:szCs w:val="22"/>
    </w:rPr>
  </w:style>
  <w:style w:type="paragraph" w:styleId="40">
    <w:name w:val="toc 9"/>
    <w:basedOn w:val="1"/>
    <w:next w:val="1"/>
    <w:unhideWhenUsed/>
    <w:qFormat/>
    <w:uiPriority w:val="39"/>
    <w:pPr>
      <w:ind w:left="3360" w:leftChars="1600"/>
    </w:pPr>
    <w:rPr>
      <w:rFonts w:ascii="Calibri" w:hAnsi="Calibri"/>
      <w:szCs w:val="22"/>
    </w:rPr>
  </w:style>
  <w:style w:type="paragraph" w:styleId="41">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3">
    <w:name w:val="Title"/>
    <w:basedOn w:val="1"/>
    <w:next w:val="1"/>
    <w:link w:val="90"/>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link w:val="128"/>
    <w:qFormat/>
    <w:uiPriority w:val="0"/>
    <w:rPr>
      <w:b/>
      <w:bCs/>
    </w:rPr>
  </w:style>
  <w:style w:type="paragraph" w:styleId="45">
    <w:name w:val="Body Text First Indent 2"/>
    <w:basedOn w:val="1"/>
    <w:next w:val="1"/>
    <w:qFormat/>
    <w:uiPriority w:val="99"/>
    <w:pPr>
      <w:ind w:firstLine="420" w:firstLineChars="200"/>
    </w:pPr>
  </w:style>
  <w:style w:type="table" w:styleId="47">
    <w:name w:val="Table Grid"/>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0"/>
    <w:rPr>
      <w:rFonts w:cs="Times New Roman"/>
      <w:b/>
    </w:rPr>
  </w:style>
  <w:style w:type="character" w:styleId="50">
    <w:name w:val="page number"/>
    <w:basedOn w:val="48"/>
    <w:qFormat/>
    <w:uiPriority w:val="0"/>
    <w:rPr>
      <w:rFonts w:eastAsia="宋体"/>
      <w:b/>
      <w:spacing w:val="0"/>
      <w:kern w:val="2"/>
      <w:sz w:val="24"/>
      <w:szCs w:val="24"/>
      <w:vertAlign w:val="baseline"/>
      <w:lang w:val="en-US" w:eastAsia="zh-CN" w:bidi="ar-SA"/>
    </w:rPr>
  </w:style>
  <w:style w:type="character" w:styleId="51">
    <w:name w:val="FollowedHyperlink"/>
    <w:qFormat/>
    <w:uiPriority w:val="0"/>
    <w:rPr>
      <w:color w:val="800080"/>
      <w:u w:val="single"/>
    </w:rPr>
  </w:style>
  <w:style w:type="character" w:styleId="52">
    <w:name w:val="Emphasis"/>
    <w:qFormat/>
    <w:uiPriority w:val="0"/>
    <w:rPr>
      <w:color w:val="CC0000"/>
    </w:rPr>
  </w:style>
  <w:style w:type="character" w:styleId="53">
    <w:name w:val="Hyperlink"/>
    <w:basedOn w:val="48"/>
    <w:qFormat/>
    <w:uiPriority w:val="99"/>
    <w:rPr>
      <w:color w:val="0000FF"/>
      <w:u w:val="single"/>
    </w:rPr>
  </w:style>
  <w:style w:type="character" w:styleId="54">
    <w:name w:val="annotation reference"/>
    <w:qFormat/>
    <w:uiPriority w:val="99"/>
    <w:rPr>
      <w:sz w:val="21"/>
      <w:szCs w:val="21"/>
    </w:rPr>
  </w:style>
  <w:style w:type="character" w:styleId="55">
    <w:name w:val="HTML Cite"/>
    <w:qFormat/>
    <w:uiPriority w:val="0"/>
    <w:rPr>
      <w:color w:val="008000"/>
    </w:rPr>
  </w:style>
  <w:style w:type="paragraph" w:styleId="56">
    <w:name w:val="List Paragraph"/>
    <w:basedOn w:val="1"/>
    <w:next w:val="16"/>
    <w:qFormat/>
    <w:uiPriority w:val="99"/>
    <w:pPr>
      <w:ind w:firstLine="420" w:firstLineChars="200"/>
    </w:pPr>
  </w:style>
  <w:style w:type="paragraph" w:customStyle="1" w:styleId="57">
    <w:name w:val="列出段落1"/>
    <w:basedOn w:val="1"/>
    <w:qFormat/>
    <w:uiPriority w:val="34"/>
    <w:pPr>
      <w:widowControl/>
      <w:ind w:left="720"/>
      <w:contextualSpacing/>
      <w:jc w:val="left"/>
    </w:pPr>
    <w:rPr>
      <w:rFonts w:ascii="Arial" w:hAnsi="Arial" w:eastAsia="黑体"/>
      <w:kern w:val="0"/>
      <w:sz w:val="24"/>
      <w:lang w:eastAsia="en-US"/>
    </w:rPr>
  </w:style>
  <w:style w:type="paragraph" w:customStyle="1" w:styleId="58">
    <w:name w:val="一级条标题"/>
    <w:basedOn w:val="59"/>
    <w:next w:val="60"/>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59">
    <w:name w:val="章标题"/>
    <w:basedOn w:val="1"/>
    <w:next w:val="1"/>
    <w:qFormat/>
    <w:uiPriority w:val="0"/>
    <w:pPr>
      <w:widowControl/>
      <w:spacing w:before="158" w:after="153" w:line="1292" w:lineRule="atLeast"/>
      <w:jc w:val="center"/>
    </w:pPr>
    <w:rPr>
      <w:rFonts w:ascii="Arial" w:hAnsi="Calibri" w:eastAsia="黑体" w:cs="黑体"/>
      <w:kern w:val="0"/>
      <w:sz w:val="31"/>
      <w:szCs w:val="22"/>
      <w:lang w:eastAsia="en-US" w:bidi="en-US"/>
    </w:rPr>
  </w:style>
  <w:style w:type="paragraph" w:customStyle="1" w:styleId="60">
    <w:name w:val="段"/>
    <w:basedOn w:val="1"/>
    <w:next w:val="1"/>
    <w:qFormat/>
    <w:uiPriority w:val="0"/>
    <w:pPr>
      <w:widowControl/>
      <w:autoSpaceDE w:val="0"/>
      <w:autoSpaceDN w:val="0"/>
      <w:ind w:firstLine="200" w:firstLineChars="200"/>
    </w:pPr>
    <w:rPr>
      <w:rFonts w:hint="eastAsia" w:ascii="宋体"/>
      <w:kern w:val="0"/>
      <w:szCs w:val="20"/>
    </w:rPr>
  </w:style>
  <w:style w:type="paragraph" w:customStyle="1" w:styleId="61">
    <w:name w:val="列表段落1"/>
    <w:basedOn w:val="1"/>
    <w:qFormat/>
    <w:uiPriority w:val="0"/>
    <w:pPr>
      <w:ind w:firstLine="420" w:firstLineChars="200"/>
    </w:pPr>
  </w:style>
  <w:style w:type="paragraph" w:customStyle="1" w:styleId="6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3">
    <w:name w:val="正文首行缩进 21"/>
    <w:basedOn w:val="64"/>
    <w:next w:val="1"/>
    <w:qFormat/>
    <w:uiPriority w:val="0"/>
    <w:pPr>
      <w:spacing w:before="100" w:beforeAutospacing="1"/>
      <w:ind w:firstLine="420"/>
    </w:pPr>
    <w:rPr>
      <w:rFonts w:ascii="宋体" w:hAnsi="宋体"/>
      <w:szCs w:val="21"/>
    </w:rPr>
  </w:style>
  <w:style w:type="paragraph" w:customStyle="1" w:styleId="64">
    <w:name w:val="正文文本缩进1"/>
    <w:basedOn w:val="1"/>
    <w:qFormat/>
    <w:uiPriority w:val="0"/>
    <w:pPr>
      <w:spacing w:line="500" w:lineRule="exact"/>
      <w:ind w:firstLine="880" w:firstLineChars="200"/>
    </w:pPr>
  </w:style>
  <w:style w:type="character" w:customStyle="1" w:styleId="65">
    <w:name w:val="标题 1 字符"/>
    <w:link w:val="2"/>
    <w:qFormat/>
    <w:uiPriority w:val="0"/>
    <w:rPr>
      <w:rFonts w:ascii="Times New Roman" w:hAnsi="Times New Roman" w:eastAsia="宋体" w:cs="Times New Roman"/>
      <w:b/>
      <w:bCs/>
      <w:kern w:val="44"/>
      <w:sz w:val="32"/>
      <w:szCs w:val="44"/>
    </w:rPr>
  </w:style>
  <w:style w:type="character" w:customStyle="1" w:styleId="66">
    <w:name w:val="明显强调1"/>
    <w:qFormat/>
    <w:uiPriority w:val="0"/>
    <w:rPr>
      <w:b/>
      <w:bCs/>
      <w:i/>
      <w:iCs/>
      <w:color w:val="4F81BD"/>
    </w:rPr>
  </w:style>
  <w:style w:type="character" w:customStyle="1" w:styleId="67">
    <w:name w:val="批注文字 Char2"/>
    <w:qFormat/>
    <w:uiPriority w:val="0"/>
    <w:rPr>
      <w:kern w:val="2"/>
      <w:sz w:val="21"/>
    </w:rPr>
  </w:style>
  <w:style w:type="character" w:customStyle="1" w:styleId="68">
    <w:name w:val="标题 3 Char_0"/>
    <w:link w:val="69"/>
    <w:qFormat/>
    <w:uiPriority w:val="0"/>
    <w:rPr>
      <w:b/>
      <w:bCs/>
      <w:sz w:val="32"/>
      <w:szCs w:val="32"/>
    </w:rPr>
  </w:style>
  <w:style w:type="paragraph" w:customStyle="1" w:styleId="69">
    <w:name w:val="标题 3_0"/>
    <w:basedOn w:val="70"/>
    <w:next w:val="70"/>
    <w:link w:val="68"/>
    <w:qFormat/>
    <w:uiPriority w:val="0"/>
    <w:pPr>
      <w:keepNext/>
      <w:keepLines/>
      <w:spacing w:before="260" w:after="260" w:line="416" w:lineRule="auto"/>
      <w:outlineLvl w:val="2"/>
    </w:pPr>
    <w:rPr>
      <w:b/>
      <w:bCs/>
      <w:kern w:val="0"/>
      <w:sz w:val="32"/>
      <w:szCs w:val="32"/>
    </w:rPr>
  </w:style>
  <w:style w:type="paragraph" w:customStyle="1" w:styleId="70">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1">
    <w:name w:val="标题 2 字符"/>
    <w:link w:val="3"/>
    <w:qFormat/>
    <w:uiPriority w:val="0"/>
    <w:rPr>
      <w:rFonts w:ascii="Cambria" w:hAnsi="Cambria"/>
      <w:b/>
      <w:bCs/>
      <w:kern w:val="2"/>
      <w:sz w:val="32"/>
      <w:szCs w:val="32"/>
    </w:rPr>
  </w:style>
  <w:style w:type="character" w:customStyle="1" w:styleId="72">
    <w:name w:val="正文文本 Char2"/>
    <w:semiHidden/>
    <w:qFormat/>
    <w:uiPriority w:val="99"/>
    <w:rPr>
      <w:rFonts w:ascii="Calibri" w:hAnsi="Calibri" w:eastAsia="宋体" w:cs="Times New Roman"/>
    </w:rPr>
  </w:style>
  <w:style w:type="character" w:customStyle="1" w:styleId="73">
    <w:name w:val="页脚 Char1"/>
    <w:semiHidden/>
    <w:qFormat/>
    <w:uiPriority w:val="99"/>
    <w:rPr>
      <w:rFonts w:ascii="Calibri" w:hAnsi="Calibri" w:eastAsia="宋体" w:cs="Times New Roman"/>
      <w:sz w:val="18"/>
      <w:szCs w:val="18"/>
    </w:rPr>
  </w:style>
  <w:style w:type="character" w:customStyle="1" w:styleId="74">
    <w:name w:val="明显引用 Char2"/>
    <w:qFormat/>
    <w:uiPriority w:val="99"/>
    <w:rPr>
      <w:b/>
      <w:bCs/>
      <w:i/>
      <w:iCs/>
      <w:color w:val="4F81BD"/>
      <w:kern w:val="2"/>
      <w:sz w:val="21"/>
      <w:szCs w:val="24"/>
    </w:rPr>
  </w:style>
  <w:style w:type="character" w:customStyle="1" w:styleId="75">
    <w:name w:val="引用 Char"/>
    <w:link w:val="76"/>
    <w:qFormat/>
    <w:uiPriority w:val="0"/>
    <w:rPr>
      <w:i/>
      <w:iCs/>
      <w:color w:val="000000"/>
    </w:rPr>
  </w:style>
  <w:style w:type="paragraph" w:customStyle="1" w:styleId="76">
    <w:name w:val="引用1"/>
    <w:basedOn w:val="1"/>
    <w:next w:val="1"/>
    <w:link w:val="75"/>
    <w:qFormat/>
    <w:uiPriority w:val="0"/>
    <w:rPr>
      <w:i/>
      <w:iCs/>
      <w:color w:val="000000"/>
      <w:kern w:val="0"/>
      <w:sz w:val="20"/>
      <w:szCs w:val="20"/>
    </w:rPr>
  </w:style>
  <w:style w:type="character" w:customStyle="1" w:styleId="77">
    <w:name w:val="标题 1 Char_0"/>
    <w:link w:val="78"/>
    <w:qFormat/>
    <w:uiPriority w:val="0"/>
    <w:rPr>
      <w:b/>
      <w:bCs/>
      <w:kern w:val="44"/>
      <w:sz w:val="44"/>
      <w:szCs w:val="44"/>
    </w:rPr>
  </w:style>
  <w:style w:type="paragraph" w:customStyle="1" w:styleId="78">
    <w:name w:val="标题 1_0"/>
    <w:basedOn w:val="70"/>
    <w:next w:val="70"/>
    <w:link w:val="77"/>
    <w:qFormat/>
    <w:uiPriority w:val="0"/>
    <w:pPr>
      <w:keepNext/>
      <w:keepLines/>
      <w:spacing w:before="340" w:after="330" w:line="578" w:lineRule="auto"/>
      <w:outlineLvl w:val="0"/>
    </w:pPr>
    <w:rPr>
      <w:b/>
      <w:bCs/>
      <w:kern w:val="44"/>
      <w:sz w:val="44"/>
      <w:szCs w:val="44"/>
    </w:rPr>
  </w:style>
  <w:style w:type="character" w:customStyle="1" w:styleId="79">
    <w:name w:val="正文文本缩进 3 Char1"/>
    <w:semiHidden/>
    <w:qFormat/>
    <w:uiPriority w:val="99"/>
    <w:rPr>
      <w:kern w:val="2"/>
      <w:sz w:val="16"/>
      <w:szCs w:val="16"/>
    </w:rPr>
  </w:style>
  <w:style w:type="character" w:customStyle="1" w:styleId="80">
    <w:name w:val="引用 Char1"/>
    <w:qFormat/>
    <w:uiPriority w:val="29"/>
    <w:rPr>
      <w:i/>
      <w:iCs/>
      <w:color w:val="000000"/>
      <w:kern w:val="2"/>
      <w:sz w:val="21"/>
    </w:rPr>
  </w:style>
  <w:style w:type="character" w:customStyle="1" w:styleId="81">
    <w:name w:val="正文文本缩进 字符"/>
    <w:link w:val="20"/>
    <w:qFormat/>
    <w:uiPriority w:val="0"/>
    <w:rPr>
      <w:kern w:val="2"/>
      <w:sz w:val="21"/>
      <w:szCs w:val="24"/>
    </w:rPr>
  </w:style>
  <w:style w:type="character" w:customStyle="1" w:styleId="82">
    <w:name w:val="font161"/>
    <w:qFormat/>
    <w:uiPriority w:val="0"/>
    <w:rPr>
      <w:b/>
      <w:sz w:val="32"/>
    </w:rPr>
  </w:style>
  <w:style w:type="character" w:customStyle="1" w:styleId="83">
    <w:name w:val="标题 4 Char_0"/>
    <w:link w:val="84"/>
    <w:qFormat/>
    <w:uiPriority w:val="0"/>
    <w:rPr>
      <w:rFonts w:ascii="Arial" w:hAnsi="Arial" w:eastAsia="黑体"/>
      <w:b/>
      <w:bCs/>
      <w:sz w:val="28"/>
      <w:szCs w:val="28"/>
    </w:rPr>
  </w:style>
  <w:style w:type="paragraph" w:customStyle="1" w:styleId="84">
    <w:name w:val="标题 4_0"/>
    <w:basedOn w:val="70"/>
    <w:next w:val="70"/>
    <w:link w:val="83"/>
    <w:qFormat/>
    <w:uiPriority w:val="0"/>
    <w:pPr>
      <w:keepNext/>
      <w:keepLines/>
      <w:spacing w:before="280" w:after="290" w:line="376" w:lineRule="auto"/>
      <w:outlineLvl w:val="3"/>
    </w:pPr>
    <w:rPr>
      <w:rFonts w:ascii="Arial" w:hAnsi="Arial" w:eastAsia="黑体"/>
      <w:b/>
      <w:bCs/>
      <w:kern w:val="0"/>
      <w:sz w:val="28"/>
      <w:szCs w:val="28"/>
    </w:rPr>
  </w:style>
  <w:style w:type="character" w:customStyle="1" w:styleId="85">
    <w:name w:val="页眉 字符"/>
    <w:link w:val="30"/>
    <w:qFormat/>
    <w:uiPriority w:val="0"/>
    <w:rPr>
      <w:kern w:val="2"/>
      <w:sz w:val="18"/>
      <w:szCs w:val="18"/>
    </w:rPr>
  </w:style>
  <w:style w:type="character" w:customStyle="1" w:styleId="86">
    <w:name w:val="标题 6 字符"/>
    <w:link w:val="7"/>
    <w:qFormat/>
    <w:uiPriority w:val="0"/>
    <w:rPr>
      <w:rFonts w:ascii="Cambria" w:hAnsi="Cambria" w:eastAsia="宋体" w:cs="Times New Roman"/>
      <w:b/>
      <w:bCs/>
      <w:kern w:val="2"/>
      <w:sz w:val="24"/>
      <w:szCs w:val="24"/>
    </w:rPr>
  </w:style>
  <w:style w:type="character" w:customStyle="1" w:styleId="87">
    <w:name w:val="纯文本 字符"/>
    <w:link w:val="24"/>
    <w:qFormat/>
    <w:uiPriority w:val="0"/>
    <w:rPr>
      <w:rFonts w:ascii="Ari"/>
      <w:lang w:val="en-US" w:eastAsia="zh-CN" w:bidi="ar-SA"/>
    </w:rPr>
  </w:style>
  <w:style w:type="character" w:customStyle="1" w:styleId="88">
    <w:name w:val="引用 Char2"/>
    <w:qFormat/>
    <w:uiPriority w:val="99"/>
    <w:rPr>
      <w:i/>
      <w:iCs/>
      <w:color w:val="000000"/>
      <w:kern w:val="2"/>
      <w:sz w:val="21"/>
      <w:szCs w:val="24"/>
    </w:rPr>
  </w:style>
  <w:style w:type="character" w:customStyle="1" w:styleId="89">
    <w:name w:val="rvts11"/>
    <w:qFormat/>
    <w:uiPriority w:val="0"/>
    <w:rPr>
      <w:rFonts w:hint="default" w:ascii="knle" w:hAnsi="knle"/>
      <w:sz w:val="24"/>
      <w:szCs w:val="24"/>
      <w:u w:val="single"/>
    </w:rPr>
  </w:style>
  <w:style w:type="character" w:customStyle="1" w:styleId="90">
    <w:name w:val="标题 字符"/>
    <w:link w:val="43"/>
    <w:qFormat/>
    <w:uiPriority w:val="0"/>
    <w:rPr>
      <w:rFonts w:ascii="Arial" w:hAnsi="Arial"/>
      <w:b/>
      <w:sz w:val="32"/>
    </w:rPr>
  </w:style>
  <w:style w:type="character" w:customStyle="1" w:styleId="91">
    <w:name w:val="标题5 Char Char"/>
    <w:link w:val="92"/>
    <w:qFormat/>
    <w:uiPriority w:val="0"/>
    <w:rPr>
      <w:rFonts w:ascii="Arial" w:hAnsi="Arial"/>
      <w:b/>
      <w:bCs/>
      <w:sz w:val="24"/>
      <w:szCs w:val="32"/>
    </w:rPr>
  </w:style>
  <w:style w:type="paragraph" w:customStyle="1" w:styleId="92">
    <w:name w:val="标题5"/>
    <w:basedOn w:val="4"/>
    <w:link w:val="91"/>
    <w:qFormat/>
    <w:uiPriority w:val="0"/>
    <w:pPr>
      <w:numPr>
        <w:ilvl w:val="0"/>
        <w:numId w:val="0"/>
      </w:numPr>
      <w:spacing w:line="413" w:lineRule="auto"/>
    </w:pPr>
    <w:rPr>
      <w:rFonts w:ascii="Arial" w:hAnsi="Arial"/>
      <w:kern w:val="0"/>
      <w:sz w:val="24"/>
    </w:rPr>
  </w:style>
  <w:style w:type="character" w:customStyle="1" w:styleId="93">
    <w:name w:val="副标题 Char2"/>
    <w:qFormat/>
    <w:uiPriority w:val="11"/>
    <w:rPr>
      <w:rFonts w:ascii="Cambria" w:hAnsi="Cambria" w:cs="Times New Roman"/>
      <w:b/>
      <w:bCs/>
      <w:kern w:val="28"/>
      <w:sz w:val="32"/>
      <w:szCs w:val="32"/>
    </w:rPr>
  </w:style>
  <w:style w:type="character" w:customStyle="1" w:styleId="94">
    <w:name w:val="文档结构图 字符"/>
    <w:link w:val="15"/>
    <w:qFormat/>
    <w:uiPriority w:val="0"/>
    <w:rPr>
      <w:rFonts w:ascii="宋体"/>
      <w:kern w:val="2"/>
      <w:sz w:val="18"/>
      <w:szCs w:val="18"/>
    </w:rPr>
  </w:style>
  <w:style w:type="character" w:customStyle="1" w:styleId="95">
    <w:name w:val="日期 字符"/>
    <w:link w:val="26"/>
    <w:qFormat/>
    <w:uiPriority w:val="0"/>
    <w:rPr>
      <w:kern w:val="2"/>
      <w:sz w:val="21"/>
      <w:szCs w:val="24"/>
    </w:rPr>
  </w:style>
  <w:style w:type="character" w:customStyle="1" w:styleId="96">
    <w:name w:val="批注主题 Char1"/>
    <w:qFormat/>
    <w:uiPriority w:val="0"/>
    <w:rPr>
      <w:b/>
      <w:bCs/>
      <w:kern w:val="2"/>
      <w:sz w:val="21"/>
      <w:szCs w:val="22"/>
    </w:rPr>
  </w:style>
  <w:style w:type="character" w:customStyle="1" w:styleId="97">
    <w:name w:val="font31"/>
    <w:qFormat/>
    <w:uiPriority w:val="0"/>
    <w:rPr>
      <w:rFonts w:hint="eastAsia" w:ascii="宋体" w:hAnsi="宋体" w:eastAsia="宋体" w:cs="宋体"/>
      <w:color w:val="000000"/>
      <w:sz w:val="20"/>
      <w:szCs w:val="20"/>
      <w:u w:val="none"/>
    </w:rPr>
  </w:style>
  <w:style w:type="character" w:customStyle="1" w:styleId="98">
    <w:name w:val="明显引用 Char"/>
    <w:link w:val="99"/>
    <w:qFormat/>
    <w:uiPriority w:val="0"/>
    <w:rPr>
      <w:b/>
      <w:bCs/>
      <w:i/>
      <w:iCs/>
      <w:color w:val="4F81BD"/>
    </w:rPr>
  </w:style>
  <w:style w:type="paragraph" w:customStyle="1" w:styleId="99">
    <w:name w:val="明显引用1"/>
    <w:basedOn w:val="1"/>
    <w:next w:val="1"/>
    <w:link w:val="98"/>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100">
    <w:name w:val="标题 5 字符"/>
    <w:link w:val="6"/>
    <w:qFormat/>
    <w:uiPriority w:val="0"/>
    <w:rPr>
      <w:b/>
      <w:bCs/>
      <w:kern w:val="2"/>
      <w:sz w:val="28"/>
      <w:szCs w:val="28"/>
    </w:rPr>
  </w:style>
  <w:style w:type="character" w:customStyle="1" w:styleId="101">
    <w:name w:val="日期 Char1"/>
    <w:qFormat/>
    <w:uiPriority w:val="0"/>
    <w:rPr>
      <w:rFonts w:ascii="Calibri" w:hAnsi="Calibri" w:eastAsia="宋体" w:cs="Times New Roman"/>
    </w:rPr>
  </w:style>
  <w:style w:type="character" w:customStyle="1" w:styleId="102">
    <w:name w:val="批注框文本 Char1"/>
    <w:qFormat/>
    <w:uiPriority w:val="0"/>
    <w:rPr>
      <w:kern w:val="2"/>
      <w:sz w:val="18"/>
      <w:szCs w:val="18"/>
    </w:rPr>
  </w:style>
  <w:style w:type="character" w:customStyle="1" w:styleId="103">
    <w:name w:val="标题 Char1"/>
    <w:qFormat/>
    <w:uiPriority w:val="10"/>
    <w:rPr>
      <w:rFonts w:ascii="Cambria" w:hAnsi="Cambria" w:eastAsia="宋体" w:cs="Times New Roman"/>
      <w:b/>
      <w:bCs/>
      <w:sz w:val="32"/>
      <w:szCs w:val="32"/>
    </w:rPr>
  </w:style>
  <w:style w:type="character" w:customStyle="1" w:styleId="104">
    <w:name w:val="标题 9 字符"/>
    <w:link w:val="10"/>
    <w:qFormat/>
    <w:uiPriority w:val="0"/>
    <w:rPr>
      <w:rFonts w:ascii="Cambria" w:hAnsi="Cambria" w:eastAsia="宋体" w:cs="Times New Roman"/>
      <w:kern w:val="2"/>
      <w:sz w:val="21"/>
      <w:szCs w:val="21"/>
    </w:rPr>
  </w:style>
  <w:style w:type="character" w:customStyle="1" w:styleId="105">
    <w:name w:val="不明显参考1"/>
    <w:qFormat/>
    <w:uiPriority w:val="0"/>
    <w:rPr>
      <w:smallCaps/>
      <w:color w:val="C0504D"/>
      <w:u w:val="single"/>
    </w:rPr>
  </w:style>
  <w:style w:type="character" w:customStyle="1" w:styleId="106">
    <w:name w:val="批注文字 Char1"/>
    <w:qFormat/>
    <w:uiPriority w:val="0"/>
    <w:rPr>
      <w:rFonts w:ascii="Calibri" w:hAnsi="Calibri" w:eastAsia="宋体" w:cs="Times New Roman"/>
    </w:rPr>
  </w:style>
  <w:style w:type="character" w:customStyle="1" w:styleId="107">
    <w:name w:val="标题 Char2"/>
    <w:qFormat/>
    <w:uiPriority w:val="10"/>
    <w:rPr>
      <w:rFonts w:ascii="Cambria" w:hAnsi="Cambria" w:cs="Times New Roman"/>
      <w:b/>
      <w:bCs/>
      <w:kern w:val="2"/>
      <w:sz w:val="32"/>
      <w:szCs w:val="32"/>
    </w:rPr>
  </w:style>
  <w:style w:type="character" w:customStyle="1" w:styleId="108">
    <w:name w:val="正文文本 3 Char1"/>
    <w:semiHidden/>
    <w:qFormat/>
    <w:uiPriority w:val="99"/>
    <w:rPr>
      <w:kern w:val="2"/>
      <w:sz w:val="16"/>
      <w:szCs w:val="16"/>
    </w:rPr>
  </w:style>
  <w:style w:type="character" w:customStyle="1" w:styleId="109">
    <w:name w:val="批注主题 Char2"/>
    <w:qFormat/>
    <w:uiPriority w:val="0"/>
    <w:rPr>
      <w:b/>
      <w:bCs/>
      <w:kern w:val="2"/>
      <w:sz w:val="21"/>
    </w:rPr>
  </w:style>
  <w:style w:type="character" w:customStyle="1" w:styleId="110">
    <w:name w:val="标题 3 字符"/>
    <w:link w:val="4"/>
    <w:qFormat/>
    <w:uiPriority w:val="0"/>
    <w:rPr>
      <w:b/>
      <w:bCs/>
      <w:kern w:val="2"/>
      <w:sz w:val="32"/>
      <w:szCs w:val="32"/>
    </w:rPr>
  </w:style>
  <w:style w:type="character" w:customStyle="1" w:styleId="111">
    <w:name w:val="正文文本 Char_0"/>
    <w:link w:val="112"/>
    <w:qFormat/>
    <w:uiPriority w:val="0"/>
    <w:rPr>
      <w:szCs w:val="24"/>
    </w:rPr>
  </w:style>
  <w:style w:type="paragraph" w:customStyle="1" w:styleId="112">
    <w:name w:val="正文文本_0"/>
    <w:basedOn w:val="70"/>
    <w:link w:val="111"/>
    <w:qFormat/>
    <w:uiPriority w:val="0"/>
    <w:pPr>
      <w:spacing w:after="120"/>
    </w:pPr>
    <w:rPr>
      <w:kern w:val="0"/>
      <w:sz w:val="20"/>
    </w:rPr>
  </w:style>
  <w:style w:type="character" w:customStyle="1" w:styleId="113">
    <w:name w:val="副标题 字符"/>
    <w:link w:val="35"/>
    <w:qFormat/>
    <w:uiPriority w:val="0"/>
    <w:rPr>
      <w:rFonts w:ascii="Cambria" w:hAnsi="Cambria"/>
      <w:b/>
      <w:bCs/>
      <w:kern w:val="28"/>
      <w:sz w:val="32"/>
      <w:szCs w:val="32"/>
    </w:rPr>
  </w:style>
  <w:style w:type="character" w:customStyle="1" w:styleId="114">
    <w:name w:val="bookmark"/>
    <w:basedOn w:val="48"/>
    <w:qFormat/>
    <w:uiPriority w:val="0"/>
  </w:style>
  <w:style w:type="character" w:customStyle="1" w:styleId="115">
    <w:name w:val="标题 5 Char_0"/>
    <w:link w:val="116"/>
    <w:qFormat/>
    <w:uiPriority w:val="0"/>
    <w:rPr>
      <w:rFonts w:ascii="Calibri" w:hAnsi="Calibri"/>
      <w:b/>
      <w:bCs/>
      <w:sz w:val="28"/>
      <w:szCs w:val="28"/>
    </w:rPr>
  </w:style>
  <w:style w:type="paragraph" w:customStyle="1" w:styleId="116">
    <w:name w:val="标题 5_0"/>
    <w:basedOn w:val="70"/>
    <w:next w:val="70"/>
    <w:link w:val="115"/>
    <w:qFormat/>
    <w:uiPriority w:val="0"/>
    <w:pPr>
      <w:keepNext/>
      <w:keepLines/>
      <w:spacing w:before="280" w:after="290" w:line="372" w:lineRule="auto"/>
      <w:outlineLvl w:val="4"/>
    </w:pPr>
    <w:rPr>
      <w:rFonts w:ascii="Calibri" w:hAnsi="Calibri"/>
      <w:b/>
      <w:bCs/>
      <w:kern w:val="0"/>
      <w:sz w:val="28"/>
      <w:szCs w:val="28"/>
    </w:rPr>
  </w:style>
  <w:style w:type="character" w:customStyle="1" w:styleId="117">
    <w:name w:val="正文文本缩进 2 字符"/>
    <w:link w:val="27"/>
    <w:qFormat/>
    <w:uiPriority w:val="99"/>
    <w:rPr>
      <w:rFonts w:ascii="宋体"/>
    </w:rPr>
  </w:style>
  <w:style w:type="character" w:customStyle="1" w:styleId="118">
    <w:name w:val="批注文字 字符"/>
    <w:link w:val="16"/>
    <w:qFormat/>
    <w:uiPriority w:val="0"/>
    <w:rPr>
      <w:kern w:val="2"/>
      <w:sz w:val="21"/>
      <w:szCs w:val="24"/>
    </w:rPr>
  </w:style>
  <w:style w:type="character" w:customStyle="1" w:styleId="119">
    <w:name w:val="font11"/>
    <w:qFormat/>
    <w:uiPriority w:val="0"/>
    <w:rPr>
      <w:rFonts w:hint="eastAsia" w:ascii="宋体" w:hAnsi="宋体" w:eastAsia="宋体" w:cs="宋体"/>
      <w:color w:val="000000"/>
      <w:sz w:val="20"/>
      <w:szCs w:val="20"/>
      <w:u w:val="none"/>
    </w:rPr>
  </w:style>
  <w:style w:type="character" w:customStyle="1" w:styleId="120">
    <w:name w:val="明显参考1"/>
    <w:qFormat/>
    <w:uiPriority w:val="0"/>
    <w:rPr>
      <w:b/>
      <w:bCs/>
      <w:smallCaps/>
      <w:color w:val="C0504D"/>
      <w:spacing w:val="5"/>
      <w:u w:val="single"/>
    </w:rPr>
  </w:style>
  <w:style w:type="character" w:customStyle="1" w:styleId="121">
    <w:name w:val="超链接_0"/>
    <w:qFormat/>
    <w:uiPriority w:val="99"/>
    <w:rPr>
      <w:rFonts w:ascii="Calibri" w:hAnsi="Calibri"/>
      <w:color w:val="0000FF"/>
      <w:u w:val="single"/>
    </w:rPr>
  </w:style>
  <w:style w:type="character" w:customStyle="1" w:styleId="122">
    <w:name w:val="文档结构图 Char2"/>
    <w:semiHidden/>
    <w:qFormat/>
    <w:uiPriority w:val="99"/>
    <w:rPr>
      <w:rFonts w:ascii="宋体" w:hAnsi="Calibri" w:eastAsia="宋体" w:cs="Times New Roman"/>
      <w:sz w:val="18"/>
      <w:szCs w:val="18"/>
    </w:rPr>
  </w:style>
  <w:style w:type="character" w:customStyle="1" w:styleId="123">
    <w:name w:val="textcontents"/>
    <w:qFormat/>
    <w:uiPriority w:val="0"/>
    <w:rPr>
      <w:rFonts w:cs="Times New Roman"/>
    </w:rPr>
  </w:style>
  <w:style w:type="character" w:customStyle="1" w:styleId="124">
    <w:name w:val="标题 1 Char"/>
    <w:qFormat/>
    <w:uiPriority w:val="0"/>
    <w:rPr>
      <w:b/>
      <w:bCs/>
      <w:kern w:val="44"/>
      <w:sz w:val="32"/>
      <w:szCs w:val="44"/>
    </w:rPr>
  </w:style>
  <w:style w:type="character" w:customStyle="1" w:styleId="125">
    <w:name w:val="正文文本 字符"/>
    <w:link w:val="18"/>
    <w:qFormat/>
    <w:uiPriority w:val="0"/>
    <w:rPr>
      <w:rFonts w:eastAsia="幼圆"/>
      <w:b/>
      <w:bCs/>
      <w:kern w:val="2"/>
      <w:sz w:val="44"/>
      <w:szCs w:val="24"/>
    </w:rPr>
  </w:style>
  <w:style w:type="character" w:customStyle="1" w:styleId="126">
    <w:name w:val="标题 8 字符"/>
    <w:link w:val="9"/>
    <w:qFormat/>
    <w:uiPriority w:val="0"/>
    <w:rPr>
      <w:rFonts w:ascii="Cambria" w:hAnsi="Cambria" w:eastAsia="宋体" w:cs="Times New Roman"/>
      <w:kern w:val="2"/>
      <w:sz w:val="24"/>
      <w:szCs w:val="24"/>
    </w:rPr>
  </w:style>
  <w:style w:type="character" w:customStyle="1" w:styleId="127">
    <w:name w:val="副标题 Char1"/>
    <w:qFormat/>
    <w:uiPriority w:val="11"/>
    <w:rPr>
      <w:rFonts w:ascii="Cambria" w:hAnsi="Cambria" w:cs="Times New Roman"/>
      <w:b/>
      <w:bCs/>
      <w:kern w:val="28"/>
      <w:sz w:val="32"/>
      <w:szCs w:val="32"/>
    </w:rPr>
  </w:style>
  <w:style w:type="character" w:customStyle="1" w:styleId="128">
    <w:name w:val="批注主题 字符"/>
    <w:link w:val="44"/>
    <w:qFormat/>
    <w:uiPriority w:val="0"/>
    <w:rPr>
      <w:b/>
      <w:bCs/>
      <w:kern w:val="2"/>
      <w:sz w:val="21"/>
      <w:szCs w:val="24"/>
    </w:rPr>
  </w:style>
  <w:style w:type="character" w:customStyle="1" w:styleId="129">
    <w:name w:val="书籍标题1"/>
    <w:qFormat/>
    <w:uiPriority w:val="0"/>
    <w:rPr>
      <w:b/>
      <w:bCs/>
      <w:smallCaps/>
      <w:spacing w:val="5"/>
    </w:rPr>
  </w:style>
  <w:style w:type="character" w:customStyle="1" w:styleId="130">
    <w:name w:val="页脚 字符"/>
    <w:link w:val="29"/>
    <w:qFormat/>
    <w:uiPriority w:val="99"/>
    <w:rPr>
      <w:kern w:val="2"/>
      <w:sz w:val="18"/>
      <w:szCs w:val="18"/>
    </w:rPr>
  </w:style>
  <w:style w:type="character" w:customStyle="1" w:styleId="131">
    <w:name w:val="标题4 Char Char"/>
    <w:link w:val="132"/>
    <w:qFormat/>
    <w:uiPriority w:val="0"/>
    <w:rPr>
      <w:rFonts w:ascii="Arial" w:hAnsi="Arial"/>
      <w:b/>
      <w:bCs/>
      <w:sz w:val="24"/>
      <w:szCs w:val="32"/>
    </w:rPr>
  </w:style>
  <w:style w:type="paragraph" w:customStyle="1" w:styleId="132">
    <w:name w:val="标题4"/>
    <w:basedOn w:val="3"/>
    <w:next w:val="21"/>
    <w:link w:val="131"/>
    <w:qFormat/>
    <w:uiPriority w:val="0"/>
    <w:pPr>
      <w:numPr>
        <w:ilvl w:val="0"/>
        <w:numId w:val="0"/>
      </w:numPr>
      <w:spacing w:line="413" w:lineRule="auto"/>
    </w:pPr>
    <w:rPr>
      <w:rFonts w:ascii="Arial" w:hAnsi="Arial"/>
      <w:kern w:val="0"/>
      <w:sz w:val="24"/>
    </w:rPr>
  </w:style>
  <w:style w:type="character" w:customStyle="1" w:styleId="133">
    <w:name w:val="正文文本 Char1"/>
    <w:qFormat/>
    <w:uiPriority w:val="0"/>
    <w:rPr>
      <w:rFonts w:ascii="Calibri" w:hAnsi="Calibri" w:eastAsia="宋体" w:cs="Times New Roman"/>
    </w:rPr>
  </w:style>
  <w:style w:type="character" w:customStyle="1" w:styleId="134">
    <w:name w:val="明显引用 Char1"/>
    <w:qFormat/>
    <w:uiPriority w:val="30"/>
    <w:rPr>
      <w:b/>
      <w:bCs/>
      <w:i/>
      <w:iCs/>
      <w:color w:val="4F81BD"/>
      <w:kern w:val="2"/>
      <w:sz w:val="21"/>
    </w:rPr>
  </w:style>
  <w:style w:type="character" w:customStyle="1" w:styleId="135">
    <w:name w:val="页眉 Char1"/>
    <w:semiHidden/>
    <w:qFormat/>
    <w:uiPriority w:val="99"/>
    <w:rPr>
      <w:rFonts w:ascii="Calibri" w:hAnsi="Calibri" w:eastAsia="宋体" w:cs="Times New Roman"/>
      <w:sz w:val="18"/>
      <w:szCs w:val="18"/>
    </w:rPr>
  </w:style>
  <w:style w:type="character" w:customStyle="1" w:styleId="136">
    <w:name w:val="不明显强调1"/>
    <w:qFormat/>
    <w:uiPriority w:val="0"/>
    <w:rPr>
      <w:i/>
      <w:iCs/>
      <w:color w:val="808080"/>
    </w:rPr>
  </w:style>
  <w:style w:type="character" w:customStyle="1" w:styleId="137">
    <w:name w:val="正文文本 3 字符"/>
    <w:link w:val="17"/>
    <w:qFormat/>
    <w:uiPriority w:val="0"/>
    <w:rPr>
      <w:rFonts w:ascii="宋体"/>
      <w:kern w:val="2"/>
      <w:sz w:val="24"/>
    </w:rPr>
  </w:style>
  <w:style w:type="character" w:customStyle="1" w:styleId="138">
    <w:name w:val="正文文本缩进 3 字符"/>
    <w:link w:val="37"/>
    <w:qFormat/>
    <w:uiPriority w:val="0"/>
    <w:rPr>
      <w:kern w:val="2"/>
      <w:sz w:val="16"/>
    </w:rPr>
  </w:style>
  <w:style w:type="character" w:customStyle="1" w:styleId="139">
    <w:name w:val="font21"/>
    <w:qFormat/>
    <w:uiPriority w:val="0"/>
    <w:rPr>
      <w:rFonts w:hint="eastAsia" w:ascii="宋体" w:hAnsi="宋体" w:eastAsia="宋体" w:cs="宋体"/>
      <w:color w:val="000000"/>
      <w:sz w:val="20"/>
      <w:szCs w:val="20"/>
      <w:u w:val="none"/>
    </w:rPr>
  </w:style>
  <w:style w:type="character" w:customStyle="1" w:styleId="140">
    <w:name w:val="批注框文本 字符"/>
    <w:link w:val="28"/>
    <w:qFormat/>
    <w:uiPriority w:val="0"/>
    <w:rPr>
      <w:kern w:val="2"/>
      <w:sz w:val="18"/>
      <w:szCs w:val="18"/>
    </w:rPr>
  </w:style>
  <w:style w:type="character" w:customStyle="1" w:styleId="141">
    <w:name w:val="标题 7 字符"/>
    <w:link w:val="8"/>
    <w:qFormat/>
    <w:uiPriority w:val="0"/>
    <w:rPr>
      <w:b/>
      <w:bCs/>
      <w:kern w:val="2"/>
      <w:sz w:val="24"/>
      <w:szCs w:val="24"/>
    </w:rPr>
  </w:style>
  <w:style w:type="character" w:customStyle="1" w:styleId="142">
    <w:name w:val="文档结构图 Char1"/>
    <w:qFormat/>
    <w:uiPriority w:val="0"/>
    <w:rPr>
      <w:rFonts w:ascii="宋体" w:hAnsi="Calibri" w:eastAsia="宋体" w:cs="Times New Roman"/>
      <w:sz w:val="18"/>
      <w:szCs w:val="18"/>
    </w:rPr>
  </w:style>
  <w:style w:type="character" w:customStyle="1" w:styleId="143">
    <w:name w:val="标题 2 Char_0"/>
    <w:link w:val="144"/>
    <w:qFormat/>
    <w:uiPriority w:val="0"/>
    <w:rPr>
      <w:rFonts w:ascii="Cambria" w:hAnsi="Cambria"/>
      <w:b/>
      <w:bCs/>
      <w:sz w:val="32"/>
      <w:szCs w:val="32"/>
    </w:rPr>
  </w:style>
  <w:style w:type="paragraph" w:customStyle="1" w:styleId="144">
    <w:name w:val="标题 2_0"/>
    <w:basedOn w:val="70"/>
    <w:next w:val="70"/>
    <w:link w:val="143"/>
    <w:unhideWhenUsed/>
    <w:qFormat/>
    <w:uiPriority w:val="0"/>
    <w:pPr>
      <w:keepNext/>
      <w:keepLines/>
      <w:spacing w:before="260" w:after="260" w:line="416" w:lineRule="auto"/>
      <w:outlineLvl w:val="1"/>
    </w:pPr>
    <w:rPr>
      <w:rFonts w:ascii="Cambria" w:hAnsi="Cambria"/>
      <w:b/>
      <w:bCs/>
      <w:kern w:val="0"/>
      <w:sz w:val="32"/>
      <w:szCs w:val="32"/>
    </w:rPr>
  </w:style>
  <w:style w:type="character" w:customStyle="1" w:styleId="145">
    <w:name w:val="日期 Char2"/>
    <w:semiHidden/>
    <w:qFormat/>
    <w:uiPriority w:val="99"/>
    <w:rPr>
      <w:rFonts w:ascii="Calibri" w:hAnsi="Calibri" w:eastAsia="宋体" w:cs="Times New Roman"/>
    </w:rPr>
  </w:style>
  <w:style w:type="character" w:customStyle="1" w:styleId="146">
    <w:name w:val="批注框文本 Char2"/>
    <w:semiHidden/>
    <w:qFormat/>
    <w:uiPriority w:val="99"/>
    <w:rPr>
      <w:rFonts w:ascii="Calibri" w:hAnsi="Calibri" w:eastAsia="宋体" w:cs="Times New Roman"/>
      <w:sz w:val="18"/>
      <w:szCs w:val="18"/>
    </w:rPr>
  </w:style>
  <w:style w:type="character" w:customStyle="1" w:styleId="147">
    <w:name w:val="标题 4 字符"/>
    <w:link w:val="5"/>
    <w:qFormat/>
    <w:uiPriority w:val="0"/>
    <w:rPr>
      <w:rFonts w:ascii="Cambria" w:hAnsi="Cambria" w:eastAsia="宋体" w:cs="Times New Roman"/>
      <w:b/>
      <w:bCs/>
      <w:kern w:val="2"/>
      <w:sz w:val="28"/>
      <w:szCs w:val="28"/>
    </w:rPr>
  </w:style>
  <w:style w:type="character" w:customStyle="1" w:styleId="148">
    <w:name w:val="列出段落 Char"/>
    <w:link w:val="149"/>
    <w:qFormat/>
    <w:locked/>
    <w:uiPriority w:val="99"/>
    <w:rPr>
      <w:kern w:val="2"/>
      <w:sz w:val="21"/>
      <w:szCs w:val="24"/>
    </w:rPr>
  </w:style>
  <w:style w:type="paragraph" w:customStyle="1" w:styleId="149">
    <w:name w:val="List Paragraph1"/>
    <w:basedOn w:val="1"/>
    <w:link w:val="148"/>
    <w:qFormat/>
    <w:uiPriority w:val="99"/>
    <w:pPr>
      <w:ind w:firstLine="420" w:firstLineChars="200"/>
    </w:pPr>
  </w:style>
  <w:style w:type="paragraph" w:customStyle="1" w:styleId="150">
    <w:name w:val="样式 标题 3 + (中文) 黑体 小四 非加粗 段前: 7.8 磅 段后: 0 磅 行距: 固定值 20 磅"/>
    <w:basedOn w:val="4"/>
    <w:next w:val="1"/>
    <w:qFormat/>
    <w:uiPriority w:val="0"/>
    <w:pPr>
      <w:spacing w:before="0" w:after="0" w:line="400" w:lineRule="exact"/>
    </w:pPr>
    <w:rPr>
      <w:rFonts w:eastAsia="黑体" w:cs="宋体"/>
      <w:b w:val="0"/>
      <w:bCs w:val="0"/>
      <w:sz w:val="24"/>
      <w:szCs w:val="20"/>
    </w:rPr>
  </w:style>
  <w:style w:type="paragraph" w:customStyle="1" w:styleId="151">
    <w:name w:val="_Style 34"/>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52">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3">
    <w:name w:val="_Style 36"/>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54">
    <w:name w:val="空半行"/>
    <w:basedOn w:val="1"/>
    <w:qFormat/>
    <w:uiPriority w:val="0"/>
    <w:pPr>
      <w:adjustRightInd w:val="0"/>
      <w:spacing w:line="120" w:lineRule="exact"/>
      <w:textAlignment w:val="baseline"/>
    </w:pPr>
    <w:rPr>
      <w:rFonts w:ascii="Calibri" w:hAnsi="Calibri" w:eastAsia="仿宋_GB2312"/>
      <w:color w:val="FFFFFF"/>
      <w:kern w:val="0"/>
      <w:sz w:val="30"/>
      <w:szCs w:val="22"/>
    </w:rPr>
  </w:style>
  <w:style w:type="paragraph" w:customStyle="1" w:styleId="155">
    <w:name w:val="1方案格式1"/>
    <w:basedOn w:val="2"/>
    <w:qFormat/>
    <w:uiPriority w:val="0"/>
    <w:pPr>
      <w:numPr>
        <w:numId w:val="2"/>
      </w:numPr>
      <w:tabs>
        <w:tab w:val="left" w:pos="360"/>
      </w:tabs>
      <w:spacing w:beforeLines="50" w:afterLines="50" w:line="360" w:lineRule="auto"/>
      <w:ind w:left="0" w:firstLine="0"/>
    </w:pPr>
    <w:rPr>
      <w:rFonts w:eastAsia="微软雅黑"/>
      <w:bCs w:val="0"/>
      <w:sz w:val="48"/>
    </w:rPr>
  </w:style>
  <w:style w:type="paragraph" w:customStyle="1" w:styleId="156">
    <w:name w:val="格式３"/>
    <w:basedOn w:val="1"/>
    <w:qFormat/>
    <w:uiPriority w:val="0"/>
    <w:pPr>
      <w:spacing w:line="420" w:lineRule="exact"/>
      <w:ind w:left="600" w:hanging="600" w:hangingChars="250"/>
    </w:pPr>
    <w:rPr>
      <w:rFonts w:ascii="宋体" w:hAnsi="宋体"/>
      <w:color w:val="000000"/>
      <w:sz w:val="24"/>
      <w:szCs w:val="20"/>
    </w:rPr>
  </w:style>
  <w:style w:type="paragraph" w:customStyle="1" w:styleId="157">
    <w:name w:val="正文1"/>
    <w:qFormat/>
    <w:uiPriority w:val="0"/>
    <w:pPr>
      <w:widowControl w:val="0"/>
      <w:jc w:val="both"/>
    </w:pPr>
    <w:rPr>
      <w:rFonts w:ascii="Calibri" w:hAnsi="Calibri" w:eastAsia="宋体" w:cs="Times New Roman"/>
      <w:lang w:val="en-US" w:eastAsia="zh-CN" w:bidi="ar-SA"/>
    </w:rPr>
  </w:style>
  <w:style w:type="paragraph" w:customStyle="1" w:styleId="158">
    <w:name w:val="正文空2字"/>
    <w:basedOn w:val="1"/>
    <w:qFormat/>
    <w:locked/>
    <w:uiPriority w:val="0"/>
    <w:pPr>
      <w:spacing w:beforeLines="40" w:afterLines="40" w:line="360" w:lineRule="auto"/>
      <w:ind w:firstLine="200" w:firstLineChars="200"/>
    </w:pPr>
    <w:rPr>
      <w:kern w:val="0"/>
      <w:sz w:val="24"/>
      <w:lang w:bidi="en-US"/>
    </w:rPr>
  </w:style>
  <w:style w:type="paragraph" w:customStyle="1" w:styleId="159">
    <w:name w:val="正文_0_0_0"/>
    <w:qFormat/>
    <w:uiPriority w:val="0"/>
    <w:pPr>
      <w:widowControl w:val="0"/>
      <w:jc w:val="both"/>
    </w:pPr>
    <w:rPr>
      <w:rFonts w:ascii="Times New Roman" w:hAnsi="Times New Roman" w:eastAsia="宋体" w:cs="Times New Roman"/>
      <w:lang w:val="en-US" w:eastAsia="zh-CN" w:bidi="ar-SA"/>
    </w:rPr>
  </w:style>
  <w:style w:type="paragraph" w:customStyle="1" w:styleId="160">
    <w:name w:val="目录 5_0"/>
    <w:basedOn w:val="70"/>
    <w:next w:val="70"/>
    <w:qFormat/>
    <w:uiPriority w:val="39"/>
    <w:pPr>
      <w:ind w:left="1680" w:leftChars="800"/>
    </w:pPr>
    <w:rPr>
      <w:rFonts w:ascii="Calibri" w:hAnsi="Calibri"/>
    </w:rPr>
  </w:style>
  <w:style w:type="paragraph" w:customStyle="1" w:styleId="161">
    <w:name w:val="修订1"/>
    <w:qFormat/>
    <w:uiPriority w:val="0"/>
    <w:rPr>
      <w:rFonts w:ascii="Times New Roman" w:hAnsi="Times New Roman" w:eastAsia="宋体" w:cs="Times New Roman"/>
      <w:kern w:val="2"/>
      <w:sz w:val="21"/>
      <w:szCs w:val="24"/>
      <w:lang w:val="en-US" w:eastAsia="zh-CN" w:bidi="ar-SA"/>
    </w:rPr>
  </w:style>
  <w:style w:type="paragraph" w:customStyle="1" w:styleId="162">
    <w:name w:val="标题 11"/>
    <w:basedOn w:val="157"/>
    <w:next w:val="157"/>
    <w:qFormat/>
    <w:uiPriority w:val="0"/>
    <w:pPr>
      <w:keepNext/>
      <w:keepLines/>
      <w:spacing w:before="340" w:after="330" w:line="576" w:lineRule="auto"/>
      <w:outlineLvl w:val="0"/>
    </w:pPr>
    <w:rPr>
      <w:rFonts w:ascii="Times New Roman" w:hAnsi="Times New Roman" w:eastAsia="Times New Roman"/>
      <w:b/>
      <w:kern w:val="44"/>
      <w:sz w:val="44"/>
      <w:lang w:val="zh-CN"/>
    </w:rPr>
  </w:style>
  <w:style w:type="paragraph" w:customStyle="1" w:styleId="163">
    <w:name w:val="正文 + 行距: 固定值 20 磅"/>
    <w:basedOn w:val="1"/>
    <w:qFormat/>
    <w:uiPriority w:val="0"/>
    <w:pPr>
      <w:spacing w:line="400" w:lineRule="exact"/>
      <w:ind w:firstLine="716" w:firstLineChars="341"/>
    </w:pPr>
    <w:rPr>
      <w:rFonts w:ascii="Calibri" w:hAnsi="Calibri"/>
      <w:szCs w:val="22"/>
    </w:rPr>
  </w:style>
  <w:style w:type="paragraph" w:customStyle="1" w:styleId="164">
    <w:name w:val="TOC 标题1"/>
    <w:basedOn w:val="2"/>
    <w:next w:val="1"/>
    <w:qFormat/>
    <w:uiPriority w:val="0"/>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165">
    <w:name w:val="表格文字"/>
    <w:basedOn w:val="1"/>
    <w:link w:val="196"/>
    <w:qFormat/>
    <w:uiPriority w:val="0"/>
    <w:pPr>
      <w:adjustRightInd w:val="0"/>
      <w:spacing w:line="420" w:lineRule="atLeast"/>
      <w:jc w:val="left"/>
      <w:textAlignment w:val="baseline"/>
    </w:pPr>
    <w:rPr>
      <w:rFonts w:ascii="Calibri" w:hAnsi="Calibri"/>
      <w:kern w:val="0"/>
      <w:szCs w:val="22"/>
    </w:rPr>
  </w:style>
  <w:style w:type="paragraph" w:customStyle="1" w:styleId="166">
    <w:name w:val="flNote"/>
    <w:basedOn w:val="1"/>
    <w:qFormat/>
    <w:uiPriority w:val="0"/>
    <w:pPr>
      <w:adjustRightInd w:val="0"/>
      <w:spacing w:before="320" w:after="160" w:line="360" w:lineRule="atLeast"/>
      <w:jc w:val="center"/>
      <w:textAlignment w:val="baseline"/>
    </w:pPr>
    <w:rPr>
      <w:rFonts w:ascii="Arial" w:hAnsi="Calibri" w:eastAsia="黑体"/>
      <w:kern w:val="0"/>
      <w:sz w:val="30"/>
      <w:szCs w:val="22"/>
    </w:rPr>
  </w:style>
  <w:style w:type="paragraph" w:customStyle="1" w:styleId="167">
    <w:name w:val="文章正文"/>
    <w:basedOn w:val="1"/>
    <w:qFormat/>
    <w:uiPriority w:val="99"/>
    <w:pPr>
      <w:adjustRightInd w:val="0"/>
      <w:snapToGrid w:val="0"/>
      <w:spacing w:line="360" w:lineRule="auto"/>
      <w:ind w:firstLine="480" w:firstLineChars="200"/>
    </w:pPr>
    <w:rPr>
      <w:rFonts w:ascii="仿宋_GB2312" w:hAnsi="宋体" w:eastAsia="仿宋_GB2312"/>
      <w:color w:val="FF0000"/>
      <w:sz w:val="24"/>
    </w:rPr>
  </w:style>
  <w:style w:type="paragraph" w:customStyle="1" w:styleId="168">
    <w:name w:val="表格"/>
    <w:basedOn w:val="1"/>
    <w:qFormat/>
    <w:uiPriority w:val="0"/>
    <w:pPr>
      <w:jc w:val="center"/>
      <w:textAlignment w:val="center"/>
    </w:pPr>
    <w:rPr>
      <w:rFonts w:ascii="华文细黑" w:hAnsi="华文细黑"/>
      <w:kern w:val="0"/>
      <w:szCs w:val="22"/>
    </w:rPr>
  </w:style>
  <w:style w:type="paragraph" w:customStyle="1" w:styleId="169">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71">
    <w:name w:val="列出段落2"/>
    <w:basedOn w:val="1"/>
    <w:qFormat/>
    <w:uiPriority w:val="99"/>
    <w:pPr>
      <w:ind w:firstLine="420" w:firstLineChars="200"/>
    </w:pPr>
  </w:style>
  <w:style w:type="paragraph" w:customStyle="1" w:styleId="172">
    <w:name w:val="6'"/>
    <w:basedOn w:val="1"/>
    <w:qFormat/>
    <w:uiPriority w:val="0"/>
    <w:pPr>
      <w:autoSpaceDE w:val="0"/>
      <w:autoSpaceDN w:val="0"/>
      <w:adjustRightInd w:val="0"/>
      <w:snapToGrid w:val="0"/>
      <w:spacing w:line="320" w:lineRule="exact"/>
      <w:jc w:val="center"/>
      <w:textAlignment w:val="baseline"/>
    </w:pPr>
    <w:rPr>
      <w:rFonts w:ascii="Calibri" w:hAnsi="Calibri"/>
      <w:spacing w:val="20"/>
      <w:kern w:val="28"/>
      <w:szCs w:val="22"/>
    </w:rPr>
  </w:style>
  <w:style w:type="paragraph" w:customStyle="1" w:styleId="173">
    <w:name w:val="Char Char Char Char Char Char Char"/>
    <w:basedOn w:val="1"/>
    <w:qFormat/>
    <w:uiPriority w:val="0"/>
    <w:pPr>
      <w:adjustRightInd w:val="0"/>
      <w:spacing w:line="360" w:lineRule="auto"/>
    </w:pPr>
    <w:rPr>
      <w:kern w:val="0"/>
      <w:sz w:val="24"/>
      <w:szCs w:val="20"/>
    </w:rPr>
  </w:style>
  <w:style w:type="paragraph" w:customStyle="1" w:styleId="174">
    <w:name w:val="2方案格式2"/>
    <w:basedOn w:val="155"/>
    <w:qFormat/>
    <w:uiPriority w:val="0"/>
    <w:pPr>
      <w:numPr>
        <w:ilvl w:val="1"/>
      </w:numPr>
      <w:spacing w:before="50" w:after="50" w:line="240" w:lineRule="auto"/>
      <w:outlineLvl w:val="1"/>
    </w:pPr>
    <w:rPr>
      <w:sz w:val="44"/>
    </w:rPr>
  </w:style>
  <w:style w:type="paragraph" w:customStyle="1" w:styleId="175">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6">
    <w:name w:val="文档正文"/>
    <w:basedOn w:val="1"/>
    <w:qFormat/>
    <w:uiPriority w:val="0"/>
    <w:pPr>
      <w:adjustRightInd w:val="0"/>
      <w:spacing w:line="480" w:lineRule="atLeast"/>
      <w:ind w:firstLine="567"/>
      <w:textAlignment w:val="baseline"/>
    </w:pPr>
    <w:rPr>
      <w:rFonts w:ascii="Ari" w:eastAsia="Ari"/>
      <w:kern w:val="0"/>
      <w:sz w:val="28"/>
      <w:szCs w:val="20"/>
    </w:rPr>
  </w:style>
  <w:style w:type="paragraph" w:customStyle="1" w:styleId="177">
    <w:name w:val="txt"/>
    <w:basedOn w:val="1"/>
    <w:qFormat/>
    <w:uiPriority w:val="0"/>
    <w:pPr>
      <w:widowControl/>
      <w:spacing w:before="100" w:beforeAutospacing="1" w:after="100" w:afterAutospacing="1"/>
      <w:jc w:val="left"/>
    </w:pPr>
    <w:rPr>
      <w:rFonts w:ascii="宋体" w:hAnsi="宋体" w:cs="宋体"/>
      <w:kern w:val="0"/>
      <w:sz w:val="24"/>
    </w:rPr>
  </w:style>
  <w:style w:type="paragraph" w:customStyle="1" w:styleId="178">
    <w:name w:val="目录 4_0"/>
    <w:basedOn w:val="70"/>
    <w:next w:val="70"/>
    <w:qFormat/>
    <w:uiPriority w:val="39"/>
    <w:pPr>
      <w:ind w:left="1260" w:leftChars="600"/>
    </w:pPr>
    <w:rPr>
      <w:rFonts w:ascii="Calibri" w:hAnsi="Calibri"/>
    </w:rPr>
  </w:style>
  <w:style w:type="paragraph" w:customStyle="1" w:styleId="179">
    <w:name w:val="目录 3_0"/>
    <w:basedOn w:val="70"/>
    <w:next w:val="70"/>
    <w:qFormat/>
    <w:uiPriority w:val="39"/>
    <w:pPr>
      <w:ind w:left="840" w:leftChars="400"/>
    </w:pPr>
    <w:rPr>
      <w:rFonts w:ascii="Calibri" w:hAnsi="Calibri"/>
    </w:rPr>
  </w:style>
  <w:style w:type="paragraph" w:customStyle="1" w:styleId="180">
    <w:name w:val="样式 标题 1 + 黑体 三号 非加粗 居中 段前: 6 磅 段后: 6 磅 行距: 固定值 20 磅"/>
    <w:basedOn w:val="2"/>
    <w:qFormat/>
    <w:uiPriority w:val="0"/>
    <w:pPr>
      <w:numPr>
        <w:numId w:val="0"/>
      </w:numPr>
      <w:spacing w:before="120" w:after="120" w:line="400" w:lineRule="exact"/>
    </w:pPr>
    <w:rPr>
      <w:rFonts w:ascii="黑体" w:hAnsi="黑体" w:eastAsia="黑体"/>
      <w:b w:val="0"/>
      <w:bCs w:val="0"/>
      <w:szCs w:val="20"/>
    </w:rPr>
  </w:style>
  <w:style w:type="paragraph" w:customStyle="1" w:styleId="181">
    <w:name w:val="1"/>
    <w:basedOn w:val="1"/>
    <w:next w:val="1"/>
    <w:qFormat/>
    <w:uiPriority w:val="0"/>
    <w:rPr>
      <w:rFonts w:ascii="Calibri" w:hAnsi="Calibri"/>
      <w:szCs w:val="22"/>
    </w:rPr>
  </w:style>
  <w:style w:type="paragraph" w:customStyle="1" w:styleId="182">
    <w:name w:val="Blockquote_0"/>
    <w:basedOn w:val="70"/>
    <w:qFormat/>
    <w:uiPriority w:val="0"/>
    <w:pPr>
      <w:autoSpaceDE w:val="0"/>
      <w:autoSpaceDN w:val="0"/>
      <w:adjustRightInd w:val="0"/>
      <w:spacing w:before="100" w:after="100"/>
      <w:ind w:left="360" w:right="360"/>
      <w:jc w:val="left"/>
    </w:pPr>
    <w:rPr>
      <w:rFonts w:ascii="Calibri" w:hAnsi="Calibri" w:eastAsia="Times New Roman"/>
      <w:kern w:val="0"/>
      <w:sz w:val="24"/>
      <w:szCs w:val="20"/>
    </w:rPr>
  </w:style>
  <w:style w:type="paragraph" w:customStyle="1" w:styleId="183">
    <w:name w:val="列出段落11"/>
    <w:basedOn w:val="1"/>
    <w:qFormat/>
    <w:uiPriority w:val="0"/>
    <w:pPr>
      <w:widowControl/>
      <w:ind w:left="720"/>
      <w:contextualSpacing/>
      <w:jc w:val="left"/>
    </w:pPr>
    <w:rPr>
      <w:rFonts w:ascii="Arial" w:hAnsi="Arial" w:eastAsia="黑体"/>
      <w:kern w:val="0"/>
      <w:sz w:val="24"/>
      <w:lang w:eastAsia="en-US"/>
    </w:rPr>
  </w:style>
  <w:style w:type="paragraph" w:customStyle="1" w:styleId="184">
    <w:name w:val="样式 标题 2 + Times New Roman 四号 非加粗 段前: 5 磅 段后: 0 磅 行距: 固定值 20..._0"/>
    <w:basedOn w:val="1"/>
    <w:qFormat/>
    <w:uiPriority w:val="0"/>
    <w:pPr>
      <w:keepNext/>
      <w:keepLines/>
      <w:spacing w:before="100" w:line="360" w:lineRule="auto"/>
      <w:outlineLvl w:val="1"/>
    </w:pPr>
    <w:rPr>
      <w:rFonts w:eastAsia="Times New Roman" w:cs="宋体"/>
      <w:kern w:val="0"/>
      <w:sz w:val="28"/>
      <w:szCs w:val="20"/>
    </w:rPr>
  </w:style>
  <w:style w:type="paragraph" w:customStyle="1" w:styleId="185">
    <w:name w:val="op_mapdots_lef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6">
    <w:name w:val="p0"/>
    <w:basedOn w:val="1"/>
    <w:qFormat/>
    <w:uiPriority w:val="0"/>
    <w:pPr>
      <w:widowControl/>
    </w:pPr>
    <w:rPr>
      <w:b/>
      <w:bCs/>
      <w:kern w:val="0"/>
      <w:sz w:val="24"/>
    </w:rPr>
  </w:style>
  <w:style w:type="paragraph" w:customStyle="1" w:styleId="187">
    <w:name w:val="Blockquote"/>
    <w:basedOn w:val="1"/>
    <w:qFormat/>
    <w:uiPriority w:val="0"/>
    <w:pPr>
      <w:autoSpaceDE w:val="0"/>
      <w:autoSpaceDN w:val="0"/>
      <w:adjustRightInd w:val="0"/>
      <w:spacing w:before="100" w:after="100"/>
      <w:ind w:left="360" w:right="360"/>
      <w:jc w:val="left"/>
    </w:pPr>
    <w:rPr>
      <w:rFonts w:ascii="Calibri" w:hAnsi="Calibri"/>
      <w:kern w:val="0"/>
      <w:sz w:val="24"/>
      <w:szCs w:val="22"/>
    </w:rPr>
  </w:style>
  <w:style w:type="paragraph" w:customStyle="1" w:styleId="188">
    <w:name w:val="3方案格式3"/>
    <w:basedOn w:val="174"/>
    <w:qFormat/>
    <w:uiPriority w:val="0"/>
    <w:pPr>
      <w:numPr>
        <w:ilvl w:val="2"/>
      </w:numPr>
      <w:outlineLvl w:val="2"/>
    </w:pPr>
    <w:rPr>
      <w:sz w:val="32"/>
    </w:rPr>
  </w:style>
  <w:style w:type="paragraph" w:customStyle="1" w:styleId="189">
    <w:name w:val="样式 标题 2 + Times New Roman 四号 非加粗 段前: 5 磅 段后: 0 磅 行距: 固定值 20..."/>
    <w:basedOn w:val="3"/>
    <w:qFormat/>
    <w:uiPriority w:val="0"/>
    <w:pPr>
      <w:numPr>
        <w:ilvl w:val="0"/>
        <w:numId w:val="0"/>
      </w:numPr>
      <w:spacing w:before="100" w:after="0" w:line="400" w:lineRule="exact"/>
    </w:pPr>
    <w:rPr>
      <w:rFonts w:ascii="Times New Roman" w:hAnsi="Times New Roman" w:eastAsia="黑体"/>
      <w:b w:val="0"/>
      <w:bCs w:val="0"/>
      <w:sz w:val="28"/>
      <w:szCs w:val="20"/>
    </w:rPr>
  </w:style>
  <w:style w:type="paragraph" w:customStyle="1" w:styleId="190">
    <w:name w:val="标题2"/>
    <w:basedOn w:val="3"/>
    <w:next w:val="18"/>
    <w:qFormat/>
    <w:uiPriority w:val="0"/>
    <w:pPr>
      <w:spacing w:before="156" w:after="156" w:line="360" w:lineRule="auto"/>
    </w:pPr>
    <w:rPr>
      <w:bCs w:val="0"/>
      <w:sz w:val="24"/>
    </w:rPr>
  </w:style>
  <w:style w:type="paragraph" w:customStyle="1" w:styleId="191">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92">
    <w:name w:val="正文11"/>
    <w:qFormat/>
    <w:uiPriority w:val="0"/>
    <w:rPr>
      <w:rFonts w:ascii="Calibri" w:hAnsi="Calibri" w:eastAsia="宋体" w:cs="Calibri"/>
      <w:sz w:val="24"/>
      <w:szCs w:val="24"/>
      <w:lang w:val="en-US" w:eastAsia="zh-CN" w:bidi="ar-SA"/>
    </w:rPr>
  </w:style>
  <w:style w:type="paragraph" w:customStyle="1" w:styleId="193">
    <w:name w:val="正文2"/>
    <w:qFormat/>
    <w:uiPriority w:val="0"/>
    <w:rPr>
      <w:rFonts w:ascii="Times New Roman" w:hAnsi="Times New Roman" w:eastAsia="微软雅黑" w:cs="Times New Roman"/>
      <w:sz w:val="24"/>
      <w:szCs w:val="24"/>
      <w:lang w:val="en-US" w:eastAsia="zh-CN" w:bidi="ar-SA"/>
    </w:rPr>
  </w:style>
  <w:style w:type="paragraph" w:customStyle="1" w:styleId="194">
    <w:name w:val="列出段落3"/>
    <w:basedOn w:val="1"/>
    <w:qFormat/>
    <w:uiPriority w:val="34"/>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195">
    <w:name w:val="纯文本2"/>
    <w:basedOn w:val="1"/>
    <w:qFormat/>
    <w:uiPriority w:val="0"/>
    <w:pPr>
      <w:jc w:val="left"/>
    </w:pPr>
    <w:rPr>
      <w:rFonts w:hint="eastAsia" w:ascii="宋体" w:hAnsi="宋体" w:cs="Courier New"/>
      <w:kern w:val="1"/>
      <w:sz w:val="24"/>
      <w:szCs w:val="20"/>
      <w:lang w:bidi="hi-IN"/>
    </w:rPr>
  </w:style>
  <w:style w:type="character" w:customStyle="1" w:styleId="196">
    <w:name w:val="表格文字 字符"/>
    <w:link w:val="165"/>
    <w:qFormat/>
    <w:uiPriority w:val="0"/>
    <w:rPr>
      <w:rFonts w:ascii="Calibri" w:hAnsi="Calibri" w:eastAsia="宋体" w:cs="Times New Roman"/>
      <w:sz w:val="21"/>
      <w:szCs w:val="22"/>
    </w:rPr>
  </w:style>
  <w:style w:type="paragraph" w:customStyle="1" w:styleId="197">
    <w:name w:val="trs_editor"/>
    <w:basedOn w:val="1"/>
    <w:qFormat/>
    <w:uiPriority w:val="0"/>
    <w:pPr>
      <w:widowControl/>
      <w:spacing w:before="100" w:beforeAutospacing="1" w:after="100" w:afterAutospacing="1"/>
      <w:jc w:val="left"/>
    </w:pPr>
    <w:rPr>
      <w:rFonts w:ascii="宋体" w:hAnsi="宋体" w:cs="宋体"/>
      <w:kern w:val="0"/>
      <w:sz w:val="24"/>
    </w:rPr>
  </w:style>
  <w:style w:type="paragraph" w:customStyle="1" w:styleId="198">
    <w:name w:val="标题二级"/>
    <w:basedOn w:val="1"/>
    <w:qFormat/>
    <w:uiPriority w:val="0"/>
    <w:pPr>
      <w:ind w:firstLine="412" w:firstLineChars="196"/>
    </w:pPr>
    <w:rPr>
      <w:rFonts w:ascii="宋体" w:hAnsi="宋体"/>
      <w:szCs w:val="21"/>
    </w:rPr>
  </w:style>
  <w:style w:type="paragraph" w:customStyle="1" w:styleId="199">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200">
    <w:name w:val="修订3"/>
    <w:hidden/>
    <w:semiHidden/>
    <w:qFormat/>
    <w:uiPriority w:val="99"/>
    <w:rPr>
      <w:rFonts w:ascii="Times New Roman" w:hAnsi="Times New Roman" w:eastAsia="宋体" w:cs="Times New Roman"/>
      <w:kern w:val="2"/>
      <w:sz w:val="21"/>
      <w:szCs w:val="24"/>
      <w:lang w:val="en-US" w:eastAsia="zh-CN" w:bidi="ar-SA"/>
    </w:rPr>
  </w:style>
  <w:style w:type="character" w:customStyle="1" w:styleId="201">
    <w:name w:val="无"/>
    <w:qFormat/>
    <w:uiPriority w:val="0"/>
  </w:style>
  <w:style w:type="paragraph" w:customStyle="1" w:styleId="202">
    <w:name w:val="Heading #2|1"/>
    <w:basedOn w:val="1"/>
    <w:qFormat/>
    <w:uiPriority w:val="0"/>
    <w:pPr>
      <w:spacing w:after="720" w:line="648" w:lineRule="exact"/>
      <w:ind w:firstLine="310"/>
      <w:jc w:val="center"/>
      <w:outlineLvl w:val="1"/>
    </w:pPr>
    <w:rPr>
      <w:rFonts w:ascii="宋体" w:hAnsi="宋体" w:cs="宋体"/>
      <w:sz w:val="42"/>
      <w:szCs w:val="42"/>
      <w:lang w:val="zh-TW" w:eastAsia="zh-TW" w:bidi="zh-TW"/>
    </w:rPr>
  </w:style>
  <w:style w:type="paragraph" w:customStyle="1" w:styleId="203">
    <w:name w:val="Body text|1"/>
    <w:basedOn w:val="1"/>
    <w:qFormat/>
    <w:uiPriority w:val="0"/>
    <w:pPr>
      <w:spacing w:line="401" w:lineRule="auto"/>
      <w:ind w:firstLine="400"/>
    </w:pPr>
    <w:rPr>
      <w:rFonts w:ascii="宋体" w:hAnsi="宋体" w:cs="宋体"/>
      <w:sz w:val="30"/>
      <w:szCs w:val="30"/>
      <w:lang w:val="zh-TW" w:eastAsia="zh-TW" w:bidi="zh-TW"/>
    </w:rPr>
  </w:style>
  <w:style w:type="paragraph" w:customStyle="1" w:styleId="204">
    <w:name w:val="_Style 1931"/>
    <w:basedOn w:val="1"/>
    <w:next w:val="56"/>
    <w:qFormat/>
    <w:uiPriority w:val="34"/>
    <w:pPr>
      <w:ind w:firstLine="420" w:firstLineChars="200"/>
    </w:pPr>
  </w:style>
  <w:style w:type="paragraph" w:customStyle="1" w:styleId="205">
    <w:name w:val="段落"/>
    <w:basedOn w:val="1"/>
    <w:qFormat/>
    <w:uiPriority w:val="0"/>
    <w:pPr>
      <w:spacing w:line="460" w:lineRule="exact"/>
      <w:ind w:firstLine="480"/>
    </w:pPr>
    <w:rPr>
      <w:rFonts w:ascii="Calibri" w:hAnsi="Calibri"/>
      <w:sz w:val="24"/>
      <w:szCs w:val="20"/>
    </w:rPr>
  </w:style>
  <w:style w:type="paragraph" w:customStyle="1" w:styleId="206">
    <w:name w:val="首行缩进"/>
    <w:basedOn w:val="1"/>
    <w:qFormat/>
    <w:uiPriority w:val="0"/>
    <w:pPr>
      <w:spacing w:line="360" w:lineRule="auto"/>
      <w:ind w:firstLine="480" w:firstLineChars="200"/>
    </w:pPr>
    <w:rPr>
      <w:rFonts w:ascii="宋体" w:hAnsi="宋体" w:cs="宋体"/>
      <w:kern w:val="0"/>
      <w:sz w:val="24"/>
    </w:rPr>
  </w:style>
  <w:style w:type="paragraph" w:customStyle="1" w:styleId="207">
    <w:name w:val="列出段落4"/>
    <w:basedOn w:val="1"/>
    <w:unhideWhenUsed/>
    <w:qFormat/>
    <w:uiPriority w:val="99"/>
    <w:pPr>
      <w:spacing w:line="360" w:lineRule="auto"/>
      <w:ind w:firstLine="420" w:firstLineChars="200"/>
    </w:pPr>
    <w:rPr>
      <w:rFonts w:ascii="Calibri" w:hAnsi="Calibri" w:eastAsia="仿宋_GB2312"/>
      <w:sz w:val="32"/>
      <w:szCs w:val="22"/>
    </w:rPr>
  </w:style>
  <w:style w:type="paragraph" w:customStyle="1" w:styleId="208">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209">
    <w:name w:val="正文 A"/>
    <w:next w:val="18"/>
    <w:qFormat/>
    <w:uiPriority w:val="0"/>
    <w:pPr>
      <w:widowControl w:val="0"/>
      <w:jc w:val="both"/>
    </w:pPr>
    <w:rPr>
      <w:rFonts w:ascii="Times New Roman" w:hAnsi="Times New Roman" w:eastAsia="ヒラギノ角ゴ Pro W3" w:cs="Times New Roman"/>
      <w:color w:val="000000"/>
      <w:kern w:val="2"/>
      <w:sz w:val="21"/>
      <w:lang w:val="en-US" w:eastAsia="zh-CN" w:bidi="ar-SA"/>
    </w:rPr>
  </w:style>
  <w:style w:type="paragraph" w:customStyle="1" w:styleId="210">
    <w:name w:val="无间距"/>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1">
    <w:name w:val="*正文"/>
    <w:basedOn w:val="1"/>
    <w:qFormat/>
    <w:uiPriority w:val="0"/>
    <w:pPr>
      <w:widowControl/>
      <w:spacing w:line="360" w:lineRule="auto"/>
    </w:pPr>
    <w:rPr>
      <w:rFonts w:ascii="仿宋_GB2312" w:eastAsia="仿宋_GB2312"/>
      <w:sz w:val="24"/>
      <w:szCs w:val="28"/>
    </w:rPr>
  </w:style>
  <w:style w:type="table" w:customStyle="1" w:styleId="212">
    <w:name w:val="Table Normal"/>
    <w:semiHidden/>
    <w:unhideWhenUsed/>
    <w:qFormat/>
    <w:uiPriority w:val="0"/>
    <w:tblPr>
      <w:tblCellMar>
        <w:top w:w="0" w:type="dxa"/>
        <w:left w:w="0" w:type="dxa"/>
        <w:bottom w:w="0" w:type="dxa"/>
        <w:right w:w="0" w:type="dxa"/>
      </w:tblCellMar>
    </w:tblPr>
  </w:style>
  <w:style w:type="character" w:customStyle="1" w:styleId="213">
    <w:name w:val="form-textarea-print1"/>
    <w:qFormat/>
    <w:uiPriority w:val="0"/>
    <w:rPr>
      <w:rFonts w:hint="default" w:ascii="微软雅黑" w:hAnsi="微软雅黑" w:eastAsia="宋体" w:cs="Times New Roman"/>
      <w:sz w:val="18"/>
      <w:szCs w:val="18"/>
    </w:rPr>
  </w:style>
  <w:style w:type="character" w:customStyle="1" w:styleId="214">
    <w:name w:val="cke_colorbox"/>
    <w:basedOn w:val="48"/>
    <w:qFormat/>
    <w:uiPriority w:val="0"/>
    <w:rPr>
      <w:bdr w:val="single" w:color="808080" w:sz="4" w:space="0"/>
    </w:rPr>
  </w:style>
  <w:style w:type="character" w:customStyle="1" w:styleId="215">
    <w:name w:val="cke_colorbox1"/>
    <w:basedOn w:val="48"/>
    <w:qFormat/>
    <w:uiPriority w:val="0"/>
  </w:style>
  <w:style w:type="character" w:customStyle="1" w:styleId="216">
    <w:name w:val="pwdtips_alert"/>
    <w:basedOn w:val="48"/>
    <w:qFormat/>
    <w:uiPriority w:val="0"/>
    <w:rPr>
      <w:bdr w:val="single" w:color="FFCB25" w:sz="4" w:space="0"/>
      <w:shd w:val="clear" w:color="auto" w:fill="FFEAA6"/>
    </w:rPr>
  </w:style>
  <w:style w:type="character" w:customStyle="1" w:styleId="217">
    <w:name w:val="l-btn-left"/>
    <w:basedOn w:val="48"/>
    <w:qFormat/>
    <w:uiPriority w:val="0"/>
  </w:style>
  <w:style w:type="character" w:customStyle="1" w:styleId="218">
    <w:name w:val="l-btn-left1"/>
    <w:basedOn w:val="48"/>
    <w:qFormat/>
    <w:uiPriority w:val="0"/>
  </w:style>
  <w:style w:type="character" w:customStyle="1" w:styleId="219">
    <w:name w:val="l-btn-left2"/>
    <w:basedOn w:val="48"/>
    <w:qFormat/>
    <w:uiPriority w:val="0"/>
  </w:style>
  <w:style w:type="character" w:customStyle="1" w:styleId="220">
    <w:name w:val="l-btn-left3"/>
    <w:basedOn w:val="48"/>
    <w:qFormat/>
    <w:uiPriority w:val="0"/>
  </w:style>
  <w:style w:type="character" w:customStyle="1" w:styleId="221">
    <w:name w:val="combo2"/>
    <w:basedOn w:val="48"/>
    <w:qFormat/>
    <w:uiPriority w:val="0"/>
  </w:style>
  <w:style w:type="character" w:customStyle="1" w:styleId="222">
    <w:name w:val="l-btn-empty"/>
    <w:basedOn w:val="48"/>
    <w:qFormat/>
    <w:uiPriority w:val="0"/>
  </w:style>
  <w:style w:type="character" w:customStyle="1" w:styleId="223">
    <w:name w:val="red"/>
    <w:basedOn w:val="48"/>
    <w:qFormat/>
    <w:uiPriority w:val="0"/>
    <w:rPr>
      <w:color w:val="FF0000"/>
    </w:rPr>
  </w:style>
  <w:style w:type="character" w:customStyle="1" w:styleId="224">
    <w:name w:val="l-btn-text"/>
    <w:basedOn w:val="48"/>
    <w:qFormat/>
    <w:uiPriority w:val="0"/>
    <w:rPr>
      <w:color w:val="1864AC"/>
      <w:sz w:val="14"/>
      <w:szCs w:val="14"/>
    </w:rPr>
  </w:style>
  <w:style w:type="character" w:customStyle="1" w:styleId="225">
    <w:name w:val="l-btn-text1"/>
    <w:basedOn w:val="48"/>
    <w:qFormat/>
    <w:uiPriority w:val="0"/>
  </w:style>
  <w:style w:type="character" w:customStyle="1" w:styleId="226">
    <w:name w:val="green"/>
    <w:basedOn w:val="48"/>
    <w:qFormat/>
    <w:uiPriority w:val="0"/>
    <w:rPr>
      <w:color w:val="00A521"/>
    </w:rPr>
  </w:style>
  <w:style w:type="character" w:customStyle="1" w:styleId="227">
    <w:name w:val="valueinfo"/>
    <w:basedOn w:val="48"/>
    <w:qFormat/>
    <w:uiPriority w:val="0"/>
    <w:rPr>
      <w:color w:val="666666"/>
    </w:rPr>
  </w:style>
  <w:style w:type="character" w:customStyle="1" w:styleId="228">
    <w:name w:val="tree-file2"/>
    <w:basedOn w:val="48"/>
    <w:qFormat/>
    <w:uiPriority w:val="0"/>
  </w:style>
  <w:style w:type="character" w:customStyle="1" w:styleId="229">
    <w:name w:val="vainfo"/>
    <w:basedOn w:val="48"/>
    <w:qFormat/>
    <w:uiPriority w:val="0"/>
    <w:rPr>
      <w:color w:val="FF0000"/>
      <w:bdr w:val="single" w:color="FCBCBC" w:sz="4" w:space="0"/>
      <w:shd w:val="clear" w:color="auto" w:fill="FFE4E4"/>
    </w:rPr>
  </w:style>
  <w:style w:type="character" w:customStyle="1" w:styleId="230">
    <w:name w:val="pwdtips_ok"/>
    <w:basedOn w:val="48"/>
    <w:qFormat/>
    <w:uiPriority w:val="0"/>
    <w:rPr>
      <w:bdr w:val="single" w:color="8EFF25" w:sz="4" w:space="0"/>
      <w:shd w:val="clear" w:color="auto" w:fill="B4FFA6"/>
    </w:rPr>
  </w:style>
  <w:style w:type="character" w:customStyle="1" w:styleId="231">
    <w:name w:val="pwdtips_error"/>
    <w:basedOn w:val="48"/>
    <w:qFormat/>
    <w:uiPriority w:val="0"/>
    <w:rPr>
      <w:bdr w:val="single" w:color="FF2525" w:sz="4" w:space="0"/>
      <w:shd w:val="clear" w:color="auto" w:fill="FFA6A6"/>
    </w:rPr>
  </w:style>
  <w:style w:type="character" w:customStyle="1" w:styleId="232">
    <w:name w:val="tree-title4"/>
    <w:basedOn w:val="48"/>
    <w:qFormat/>
    <w:uiPriority w:val="0"/>
    <w:rPr>
      <w:color w:val="1864AC"/>
    </w:rPr>
  </w:style>
  <w:style w:type="character" w:customStyle="1" w:styleId="233">
    <w:name w:val="tree-title5"/>
    <w:basedOn w:val="48"/>
    <w:qFormat/>
    <w:uiPriority w:val="0"/>
    <w:rPr>
      <w:color w:val="FFFFFF"/>
      <w:shd w:val="clear" w:color="auto" w:fill="3366CC"/>
    </w:rPr>
  </w:style>
  <w:style w:type="character" w:customStyle="1" w:styleId="234">
    <w:name w:val="info"/>
    <w:basedOn w:val="48"/>
    <w:qFormat/>
    <w:uiPriority w:val="0"/>
  </w:style>
  <w:style w:type="character" w:customStyle="1" w:styleId="235">
    <w:name w:val="topic"/>
    <w:basedOn w:val="48"/>
    <w:qFormat/>
    <w:uiPriority w:val="0"/>
    <w:rPr>
      <w:color w:val="FF0000"/>
    </w:rPr>
  </w:style>
  <w:style w:type="paragraph" w:customStyle="1" w:styleId="236">
    <w:name w:val="_Style 213"/>
    <w:basedOn w:val="1"/>
    <w:next w:val="56"/>
    <w:qFormat/>
    <w:uiPriority w:val="34"/>
    <w:pPr>
      <w:adjustRightInd w:val="0"/>
      <w:spacing w:line="360" w:lineRule="atLeast"/>
      <w:ind w:firstLine="420" w:firstLineChars="200"/>
      <w:jc w:val="left"/>
      <w:textAlignment w:val="baseline"/>
    </w:pPr>
    <w:rPr>
      <w:rFonts w:ascii="Arial" w:hAnsi="Arial"/>
      <w:kern w:val="0"/>
      <w:sz w:val="24"/>
    </w:rPr>
  </w:style>
  <w:style w:type="paragraph" w:customStyle="1" w:styleId="237">
    <w:name w:val="修订5"/>
    <w:hidden/>
    <w:semiHidden/>
    <w:qFormat/>
    <w:uiPriority w:val="99"/>
    <w:rPr>
      <w:rFonts w:ascii="Times New Roman" w:hAnsi="Times New Roman" w:eastAsia="宋体" w:cs="Times New Roman"/>
      <w:kern w:val="2"/>
      <w:sz w:val="21"/>
      <w:szCs w:val="24"/>
      <w:lang w:val="en-US" w:eastAsia="zh-CN" w:bidi="ar-SA"/>
    </w:rPr>
  </w:style>
  <w:style w:type="paragraph" w:customStyle="1" w:styleId="238">
    <w:name w:val="修订6"/>
    <w:hidden/>
    <w:semiHidden/>
    <w:qFormat/>
    <w:uiPriority w:val="99"/>
    <w:rPr>
      <w:rFonts w:ascii="Times New Roman" w:hAnsi="Times New Roman" w:eastAsia="宋体" w:cs="Times New Roman"/>
      <w:kern w:val="2"/>
      <w:sz w:val="21"/>
      <w:szCs w:val="24"/>
      <w:lang w:val="en-US" w:eastAsia="zh-CN" w:bidi="ar-SA"/>
    </w:rPr>
  </w:style>
  <w:style w:type="character" w:customStyle="1" w:styleId="239">
    <w:name w:val="NormalCharacter"/>
    <w:semiHidden/>
    <w:qFormat/>
    <w:uiPriority w:val="0"/>
    <w:rPr>
      <w:rFonts w:ascii="Calibri" w:hAnsi="Calibri" w:eastAsia="宋体"/>
      <w:kern w:val="2"/>
      <w:sz w:val="21"/>
      <w:szCs w:val="24"/>
      <w:lang w:val="en-US" w:eastAsia="zh-CN" w:bidi="ar-SA"/>
    </w:rPr>
  </w:style>
  <w:style w:type="paragraph" w:styleId="240">
    <w:name w:val="No Spacing"/>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241">
    <w:name w:val="列表段落2"/>
    <w:basedOn w:val="1"/>
    <w:qFormat/>
    <w:uiPriority w:val="0"/>
    <w:pPr>
      <w:ind w:firstLine="420"/>
    </w:pPr>
    <w:rPr>
      <w:szCs w:val="21"/>
    </w:rPr>
  </w:style>
  <w:style w:type="paragraph" w:customStyle="1" w:styleId="242">
    <w:name w:val="正文_9_0"/>
    <w:basedOn w:val="1"/>
    <w:qFormat/>
    <w:uiPriority w:val="0"/>
    <w:rPr>
      <w:szCs w:val="21"/>
    </w:rPr>
  </w:style>
  <w:style w:type="paragraph" w:customStyle="1" w:styleId="243">
    <w:name w:val="p15"/>
    <w:basedOn w:val="1"/>
    <w:qFormat/>
    <w:uiPriority w:val="0"/>
    <w:pPr>
      <w:widowControl/>
      <w:snapToGrid w:val="0"/>
      <w:jc w:val="left"/>
    </w:pPr>
    <w:rPr>
      <w:rFonts w:ascii="黑体" w:hAnsi="黑体" w:eastAsia="黑体" w:cs="宋体"/>
      <w:color w:val="000000"/>
      <w:kern w:val="0"/>
      <w:sz w:val="24"/>
    </w:rPr>
  </w:style>
  <w:style w:type="paragraph" w:customStyle="1" w:styleId="244">
    <w:name w:val="a正文"/>
    <w:basedOn w:val="1"/>
    <w:qFormat/>
    <w:uiPriority w:val="0"/>
    <w:pPr>
      <w:autoSpaceDE w:val="0"/>
      <w:autoSpaceDN w:val="0"/>
      <w:adjustRightInd w:val="0"/>
      <w:snapToGrid w:val="0"/>
    </w:pPr>
    <w:rPr>
      <w:color w:val="000000"/>
      <w:kern w:val="0"/>
      <w:sz w:val="24"/>
      <w:szCs w:val="28"/>
      <w:lang w:val="zh-CN" w:bidi="zh-CN"/>
    </w:rPr>
  </w:style>
  <w:style w:type="paragraph" w:customStyle="1" w:styleId="245">
    <w:name w:val="标题 5（有编号）（绿盟科技）"/>
    <w:next w:val="246"/>
    <w:qFormat/>
    <w:uiPriority w:val="0"/>
    <w:pPr>
      <w:keepNext/>
      <w:keepLines/>
      <w:widowControl w:val="0"/>
      <w:numPr>
        <w:ilvl w:val="4"/>
        <w:numId w:val="3"/>
      </w:numPr>
      <w:spacing w:before="280" w:after="156" w:line="377" w:lineRule="auto"/>
      <w:outlineLvl w:val="4"/>
    </w:pPr>
    <w:rPr>
      <w:rFonts w:ascii="Arial" w:hAnsi="Arial" w:eastAsia="黑体" w:cs="Times New Roman"/>
      <w:b/>
      <w:sz w:val="24"/>
      <w:szCs w:val="28"/>
      <w:lang w:val="en-US" w:eastAsia="zh-CN" w:bidi="ar-SA"/>
    </w:rPr>
  </w:style>
  <w:style w:type="paragraph" w:customStyle="1" w:styleId="246">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47">
    <w:name w:val="修订7"/>
    <w:hidden/>
    <w:unhideWhenUsed/>
    <w:qFormat/>
    <w:uiPriority w:val="99"/>
    <w:rPr>
      <w:rFonts w:ascii="Times New Roman" w:hAnsi="Times New Roman" w:eastAsia="宋体" w:cs="Times New Roman"/>
      <w:kern w:val="2"/>
      <w:sz w:val="21"/>
      <w:szCs w:val="24"/>
      <w:lang w:val="en-US" w:eastAsia="zh-CN" w:bidi="ar-SA"/>
    </w:rPr>
  </w:style>
  <w:style w:type="character" w:customStyle="1" w:styleId="248">
    <w:name w:val="font01"/>
    <w:qFormat/>
    <w:uiPriority w:val="0"/>
    <w:rPr>
      <w:rFonts w:hint="eastAsia" w:ascii="宋体" w:hAnsi="宋体" w:eastAsia="宋体" w:cs="宋体"/>
      <w:color w:val="000000"/>
      <w:sz w:val="22"/>
      <w:szCs w:val="22"/>
      <w:u w:val="none"/>
    </w:rPr>
  </w:style>
  <w:style w:type="paragraph" w:customStyle="1" w:styleId="249">
    <w:name w:val="Table Paragraph"/>
    <w:basedOn w:val="1"/>
    <w:qFormat/>
    <w:uiPriority w:val="1"/>
    <w:rPr>
      <w:rFonts w:ascii="宋体" w:hAnsi="宋体" w:cs="宋体"/>
      <w:lang w:val="zh-CN" w:bidi="zh-CN"/>
    </w:rPr>
  </w:style>
  <w:style w:type="paragraph" w:customStyle="1" w:styleId="250">
    <w:name w:val="List Paragraph_a51b13b6-d5a4-47e0-ab8f-95bc84043e19"/>
    <w:basedOn w:val="1"/>
    <w:next w:val="16"/>
    <w:qFormat/>
    <w:uiPriority w:val="99"/>
    <w:pPr>
      <w:ind w:firstLine="420" w:firstLineChars="200"/>
    </w:pPr>
  </w:style>
  <w:style w:type="paragraph" w:customStyle="1" w:styleId="251">
    <w:name w:val="_Style 193"/>
    <w:basedOn w:val="1"/>
    <w:next w:val="56"/>
    <w:qFormat/>
    <w:uiPriority w:val="34"/>
    <w:pPr>
      <w:ind w:firstLine="420" w:firstLineChars="200"/>
    </w:pPr>
    <w:rPr>
      <w:rFonts w:ascii="Calibri" w:hAnsi="Calibri"/>
    </w:rPr>
  </w:style>
  <w:style w:type="paragraph" w:customStyle="1" w:styleId="252">
    <w:name w:val="_Style 13"/>
    <w:qFormat/>
    <w:uiPriority w:val="0"/>
    <w:pPr>
      <w:spacing w:before="120" w:after="120" w:line="288" w:lineRule="auto"/>
      <w:ind w:left="0"/>
      <w:jc w:val="left"/>
    </w:pPr>
    <w:rPr>
      <w:rFonts w:ascii="Arial" w:hAnsi="Arial" w:eastAsia="等线" w:cs="Arial"/>
      <w:sz w:val="22"/>
      <w:szCs w:val="22"/>
    </w:rPr>
  </w:style>
  <w:style w:type="paragraph" w:customStyle="1" w:styleId="253">
    <w:name w:val="副标题1"/>
    <w:basedOn w:val="35"/>
    <w:qFormat/>
    <w:uiPriority w:val="0"/>
    <w:pPr>
      <w:spacing w:before="60" w:line="460" w:lineRule="exact"/>
      <w:jc w:val="left"/>
    </w:pPr>
    <w:rPr>
      <w:rFonts w:ascii="宋体" w:hAnsi="宋体" w:cs="Times New Roman"/>
      <w:sz w:val="21"/>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428e9795-b0a9-4697-ba29-4b713ae58979</errorID>
      <errorWord>后</errorWord>
      <group>L1_Word</group>
      <groupName>字词问题</groupName>
      <ability>L2_Typo</ability>
      <abilityName>字词错误</abilityName>
      <candidateList>
        <item>后在</item>
      </candidateList>
      <explain/>
      <paraID> F2F7E9B</paraID>
      <start>57</start>
      <end>58</end>
      <status>unmodified</status>
      <modifiedWord/>
      <trackRevisions>false</trackRevisions>
    </reviewItem>
    <reviewItem>
      <errorID>b5e649aa-71f5-4dcf-96da-df4a30eba5cb</errorID>
      <errorWord>：</errorWord>
      <group>L1_Format</group>
      <groupName>格式问题</groupName>
      <ability>L2_HalfPunc_CN</ability>
      <abilityName>全半角检查</abilityName>
      <candidateList>
        <item>:</item>
      </candidateList>
      <explain>文本全半角错误。</explain>
      <paraID>2893FA12</paraID>
      <start>23</start>
      <end>24</end>
      <status>unmodified</status>
      <modifiedWord/>
      <trackRevisions>false</trackRevisions>
    </reviewItem>
    <reviewItem>
      <errorID>52b7fea1-9ddb-4a4d-bda9-2965b4172a9f</errorID>
      <errorWord>：</errorWord>
      <group>L1_Format</group>
      <groupName>格式问题</groupName>
      <ability>L2_HalfPunc_CN</ability>
      <abilityName>全半角检查</abilityName>
      <candidateList>
        <item>:</item>
      </candidateList>
      <explain>文本全半角错误。</explain>
      <paraID>2893FA12</paraID>
      <start>35</start>
      <end>36</end>
      <status>unmodified</status>
      <modifiedWord/>
      <trackRevisions>false</trackRevisions>
    </reviewItem>
    <reviewItem>
      <errorID>2021662c-d171-4b8f-b740-2f0a7dd4d05c</errorID>
      <errorWord>：</errorWord>
      <group>L1_Format</group>
      <groupName>格式问题</groupName>
      <ability>L2_HalfPunc_CN</ability>
      <abilityName>全半角检查</abilityName>
      <candidateList>
        <item>:</item>
      </candidateList>
      <explain>文本全半角错误。</explain>
      <paraID>2893FA12</paraID>
      <start>47</start>
      <end>48</end>
      <status>unmodified</status>
      <modifiedWord/>
      <trackRevisions>false</trackRevisions>
    </reviewItem>
    <reviewItem>
      <errorID>4341a1aa-fcb9-487e-a29a-0f7d95fefc70</errorID>
      <errorWord>：</errorWord>
      <group>L1_Format</group>
      <groupName>格式问题</groupName>
      <ability>L2_HalfPunc_CN</ability>
      <abilityName>全半角检查</abilityName>
      <candidateList>
        <item>:</item>
      </candidateList>
      <explain>文本全半角错误。</explain>
      <paraID>562B7F85</paraID>
      <start>12</start>
      <end>13</end>
      <status>unmodified</status>
      <modifiedWord/>
      <trackRevisions>false</trackRevisions>
    </reviewItem>
    <reviewItem>
      <errorID>413a8dd8-b0f4-49b2-af14-e6755003ba54</errorID>
      <errorWord>：</errorWord>
      <group>L1_Format</group>
      <groupName>格式问题</groupName>
      <ability>L2_HalfPunc_CN</ability>
      <abilityName>全半角检查</abilityName>
      <candidateList>
        <item>:</item>
      </candidateList>
      <explain>文本全半角错误。</explain>
      <paraID>562B7F85</paraID>
      <start>24</start>
      <end>25</end>
      <status>unmodified</status>
      <modifiedWord/>
      <trackRevisions>false</trackRevisions>
    </reviewItem>
    <reviewItem>
      <errorID>f5ef2bc7-d952-40ad-83ea-eef3f3edc623</errorID>
      <errorWord>：</errorWord>
      <group>L1_Format</group>
      <groupName>格式问题</groupName>
      <ability>L2_HalfPunc_CN</ability>
      <abilityName>全半角检查</abilityName>
      <candidateList>
        <item>:</item>
      </candidateList>
      <explain>文本全半角错误。</explain>
      <paraID>562B7F85</paraID>
      <start>36</start>
      <end>37</end>
      <status>unmodified</status>
      <modifiedWord/>
      <trackRevisions>false</trackRevisions>
    </reviewItem>
    <reviewItem>
      <errorID>7973f8bf-38ba-4739-81a0-790866bed763</errorID>
      <errorWord>：</errorWord>
      <group>L1_AI</group>
      <groupName>深度校对</groupName>
      <ability>L2_AI_Word</ability>
      <abilityName>字词纠错</abilityName>
      <candidateList>
        <item>的</item>
      </candidateList>
      <explain/>
      <paraID>3B05C7EA</paraID>
      <start>44</start>
      <end>45</end>
      <status>unmodified</status>
      <modifiedWord/>
      <trackRevisions>false</trackRevisions>
    </reviewItem>
    <reviewItem>
      <errorID>b5352928-4d7c-4a81-81bc-2c671d0eb297</errorID>
      <errorWord>；</errorWord>
      <group>L1_AI</group>
      <groupName>深度校对</groupName>
      <ability>L2_AI_Punc</ability>
      <abilityName>标点纠错</abilityName>
      <candidateList>
        <item>、</item>
      </candidateList>
      <explain/>
      <paraID>3B05C7EA</paraID>
      <start>68</start>
      <end>69</end>
      <status>unmodified</status>
      <modifiedWord/>
      <trackRevisions>false</trackRevisions>
    </reviewItem>
    <reviewItem>
      <errorID>571bd3e4-1b1f-47ef-a86c-5138b6d3dda1</errorID>
      <errorWord>后</errorWord>
      <group>L1_Word</group>
      <groupName>字词问题</groupName>
      <ability>L2_Typo</ability>
      <abilityName>字词错误</abilityName>
      <candidateList>
        <item>后在</item>
      </candidateList>
      <explain/>
      <paraID>30456C4D</paraID>
      <start>17</start>
      <end>18</end>
      <status>unmodified</status>
      <modifiedWord/>
      <trackRevisions>false</trackRevisions>
    </reviewItem>
    <reviewItem>
      <errorID>37dc48b6-9f27-4ec4-95bb-688af938107a</errorID>
      <errorWord>－－</errorWord>
      <group>L1_AI</group>
      <groupName>深度校对</groupName>
      <ability>L2_AI_Punc</ability>
      <abilityName>标点纠错</abilityName>
      <candidateList>
        <item>--</item>
      </candidateList>
      <explain/>
      <paraID>61831672</paraID>
      <start>41</start>
      <end>43</end>
      <status>unmodified</status>
      <modifiedWord/>
      <trackRevisions>false</trackRevisions>
    </reviewItem>
    <reviewItem>
      <errorID>a679bd45-186e-45cb-a1a6-5ab39e75b4de</errorID>
      <errorWord>－－</errorWord>
      <group>L1_AI</group>
      <groupName>深度校对</groupName>
      <ability>L2_AI_Punc</ability>
      <abilityName>标点纠错</abilityName>
      <candidateList>
        <item>--</item>
      </candidateList>
      <explain/>
      <paraID>61831672</paraID>
      <start>55</start>
      <end>57</end>
      <status>unmodified</status>
      <modifiedWord/>
      <trackRevisions>false</trackRevisions>
    </reviewItem>
    <reviewItem>
      <errorID>24022bf8-40ec-4526-873a-7d522f78e65c</errorID>
      <errorWord>“.</errorWord>
      <group>L1_Punc</group>
      <groupName>标点问题</groupName>
      <ability>L2_Punc_CN</ability>
      <abilityName>标点符号检查</abilityName>
      <candidateList>
        <item>“</item>
      </candidateList>
      <explain/>
      <paraID>61831672</paraID>
      <start>78</start>
      <end>80</end>
      <status>unmodified</status>
      <modifiedWord/>
      <trackRevisions>false</trackRevisions>
    </reviewItem>
    <reviewItem>
      <errorID>c2ce503b-df1f-4d49-8116-85fab132bfd3</errorID>
      <errorWord>打开</errorWord>
      <group>L1_AI</group>
      <groupName>深度校对</groupName>
      <ability>L2_AI_Punc</ability>
      <abilityName>标点纠错</abilityName>
      <candidateList>
        <item>，打开</item>
      </candidateList>
      <explain/>
      <paraID>156ACD42</paraID>
      <start>151</start>
      <end>153</end>
      <status>unmodified</status>
      <modifiedWord/>
      <trackRevisions>false</trackRevisions>
    </reviewItem>
    <reviewItem>
      <errorID>d8eb18f7-d12b-4d14-a955-044966f619b7</errorID>
      <errorWord>登录</errorWord>
      <group>L1_AI</group>
      <groupName>深度校对</groupName>
      <ability>L2_AI_Word</ability>
      <abilityName>字词纠错</abilityName>
      <candidateList>
        <item>并登录</item>
      </candidateList>
      <explain/>
      <paraID>156ACD42</paraID>
      <start>262</start>
      <end>264</end>
      <status>unmodified</status>
      <modifiedWord/>
      <trackRevisions>false</trackRevisions>
    </reviewItem>
    <reviewItem>
      <errorID>7b7d3510-c57d-4802-bd98-6b7dd5b250c4</errorID>
      <errorWord>‘供应商注册点这里’</errorWord>
      <group>L1_AI</group>
      <groupName>深度校对</groupName>
      <ability>L2_AI_Punc</ability>
      <abilityName>标点纠错</abilityName>
      <candidateList>
        <item>“供应商注册点这里”</item>
      </candidateList>
      <explain/>
      <paraID>156ACD42</paraID>
      <start>276</start>
      <end>286</end>
      <status>unmodified</status>
      <modifiedWord/>
      <trackRevisions>false</trackRevisions>
    </reviewItem>
    <reviewItem>
      <errorID>f6a7ffe2-7ba2-4271-b8b4-8dfcd67b2872</errorID>
      <errorWord>下载</errorWord>
      <group>L1_AI</group>
      <groupName>深度校对</groupName>
      <ability>L2_AI_Punc</ability>
      <abilityName>标点纠错</abilityName>
      <candidateList>
        <item>，下载</item>
      </candidateList>
      <explain/>
      <paraID>156ACD42</paraID>
      <start>319</start>
      <end>321</end>
      <status>unmodified</status>
      <modifiedWord/>
      <trackRevisions>false</trackRevisions>
    </reviewItem>
    <reviewItem>
      <errorID>9df214f8-0142-4251-bb28-82f04f66608e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4EC559E5</paraID>
      <start>0</start>
      <end>2</end>
      <status>unmodified</status>
      <modifiedWord/>
      <trackRevisions>false</trackRevisions>
    </reviewItem>
    <reviewItem>
      <errorID>d5bee429-f624-4ada-b455-5e9d1b606ed1</errorID>
      <errorWord>《中华人民共和国政府采购法》（以下简称政府采购法）</errorWord>
      <group>L1_Knowledge</group>
      <groupName>知识性问题</groupName>
      <ability>L2_Knowledge</ability>
      <abilityName>其他知识</abilityName>
      <candidateList>
        <item>《中华人民共和国政府采购法》（以下简称“政府采购法”）</item>
      </candidateList>
      <explain>疑似政策文件、法律法规名称等书写不规范，请注意检查。</explain>
      <paraID>5EC976C8</paraID>
      <start>10</start>
      <end>35</end>
      <status>unmodified</status>
      <modifiedWord/>
      <trackRevisions>false</trackRevisions>
    </reviewItem>
    <reviewItem>
      <errorID>44a6820b-d055-4961-a13b-7d72cba15a58</errorID>
      <errorWord>《中华人民共和国政府采购法实施条例》（以下简称政府采购法实施条例）</errorWord>
      <group>L1_Knowledge</group>
      <groupName>知识性问题</groupName>
      <ability>L2_Knowledge</ability>
      <abilityName>其他知识</abilityName>
      <candidateList>
        <item>《中华人民共和国政府采购法实施条例》（以下简称“政府采购法实施条例”）</item>
      </candidateList>
      <explain>疑似政策文件、法律法规名称等书写不规范，请注意检查。</explain>
      <paraID>5EC976C8</paraID>
      <start>35</start>
      <end>68</end>
      <status>unmodified</status>
      <modifiedWord/>
      <trackRevisions>false</trackRevisions>
    </reviewItem>
    <reviewItem>
      <errorID>3aafe4e9-acf5-4d30-ba40-7cf2e1d1e10d</errorID>
      <errorWord>《</errorWord>
      <group>L1_AI</group>
      <groupName>深度校对</groupName>
      <ability>L2_AI_Punc</ability>
      <abilityName>标点纠错</abilityName>
      <candidateList>
        <item>、《</item>
      </candidateList>
      <explain/>
      <paraID>5EC976C8</paraID>
      <start>68</start>
      <end>69</end>
      <status>unmodified</status>
      <modifiedWord/>
      <trackRevisions>false</trackRevisions>
    </reviewItem>
    <reviewItem>
      <errorID>241f4337-30c9-4521-acfd-1f20af9b3f7a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1EEAF10</paraID>
      <start>0</start>
      <end>2</end>
      <status>unmodified</status>
      <modifiedWord/>
      <trackRevisions>false</trackRevisions>
    </reviewItem>
    <reviewItem>
      <errorID>a245e76c-35a4-4dde-9212-e9286a556eb5</errorID>
      <errorWord>“</errorWord>
      <group>L1_AI</group>
      <groupName>深度校对</groupName>
      <ability>L2_AI_Punc</ability>
      <abilityName>标点纠错</abilityName>
      <candidateList>
        <item> “</item>
      </candidateList>
      <explain/>
      <paraID>6ADA75E1</paraID>
      <start>3</start>
      <end>4</end>
      <status>unmodified</status>
      <modifiedWord/>
      <trackRevisions>false</trackRevisions>
    </reviewItem>
    <reviewItem>
      <errorID>4cecbb5f-f05b-4e78-8856-49e44cc2edcf</errorID>
      <errorWord>，</errorWord>
      <group>L1_AI</group>
      <groupName>深度校对</groupName>
      <ability>L2_AI_Punc</ability>
      <abilityName>标点纠错</abilityName>
      <candidateList>
        <item>、</item>
      </candidateList>
      <explain/>
      <paraID>6ADA75E1</paraID>
      <start>18</start>
      <end>19</end>
      <status>unmodified</status>
      <modifiedWord/>
      <trackRevisions>false</trackRevisions>
    </reviewItem>
    <reviewItem>
      <errorID>792f6bc0-ecee-4853-91a3-d7f48670319b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7F804BCD</paraID>
      <start>0</start>
      <end>2</end>
      <status>unmodified</status>
      <modifiedWord/>
      <trackRevisions>false</trackRevisions>
    </reviewItem>
    <reviewItem>
      <errorID>21ad6429-0ca9-4154-a1bb-865a89635249</errorID>
      <errorWord>（</errorWord>
      <group>L1_Punc</group>
      <groupName>标点问题</groupName>
      <ability>L2_Punc_CN</ability>
      <abilityName>标点符号检查</abilityName>
      <candidateList/>
      <explain>同一形式括号套用。</explain>
      <paraID>15DF2C1D</paraID>
      <start>215</start>
      <end>216</end>
      <status>unmodified</status>
      <modifiedWord/>
      <trackRevisions>false</trackRevisions>
    </reviewItem>
    <reviewItem>
      <errorID>7e635e4c-2e07-450e-99d6-d99b758f6aaf</errorID>
      <errorWord>）</errorWord>
      <group>L1_Punc</group>
      <groupName>标点问题</groupName>
      <ability>L2_Punc_CN</ability>
      <abilityName>标点符号检查</abilityName>
      <candidateList/>
      <explain>同一形式括号套用。</explain>
      <paraID>15DF2C1D</paraID>
      <start>220</start>
      <end>221</end>
      <status>unmodified</status>
      <modifiedWord/>
      <trackRevisions>false</trackRevisions>
    </reviewItem>
    <reviewItem>
      <errorID>cdaa930a-e465-4c20-94bc-a8daa9b3bda8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672918CC</paraID>
      <start>0</start>
      <end>2</end>
      <status>unmodified</status>
      <modifiedWord/>
      <trackRevisions>false</trackRevisions>
    </reviewItem>
    <reviewItem>
      <errorID>cdeae72b-6f65-4055-bbc2-5ae44f18619e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6ED1D1FF</paraID>
      <start>0</start>
      <end>2</end>
      <status>unmodified</status>
      <modifiedWord/>
      <trackRevisions>false</trackRevisions>
    </reviewItem>
    <reviewItem>
      <errorID>8a781386-795f-4150-8ec2-906065442ca4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47FDB8BD</paraID>
      <start>0</start>
      <end>2</end>
      <status>unmodified</status>
      <modifiedWord/>
      <trackRevisions>false</trackRevisions>
    </reviewItem>
    <reviewItem>
      <errorID>26018a3e-9b3a-47e4-93df-b91246f1ce15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7BD9CB30</paraID>
      <start>0</start>
      <end>2</end>
      <status>unmodified</status>
      <modifiedWord/>
      <trackRevisions>false</trackRevisions>
    </reviewItem>
    <reviewItem>
      <errorID>040db7bb-6f57-4d95-8193-17ae2bb23597</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4D8638D0</paraID>
      <start>0</start>
      <end>2</end>
      <status>unmodified</status>
      <modifiedWord/>
      <trackRevisions>false</trackRevisions>
    </reviewItem>
    <reviewItem>
      <errorID>99997693-9690-4aae-bd76-8d8925634b26</errorID>
      <errorWord>（</errorWord>
      <group>L1_Punc</group>
      <groupName>标点问题</groupName>
      <ability>L2_Punc_CN</ability>
      <abilityName>标点符号检查</abilityName>
      <candidateList/>
      <explain>同一形式括号套用。</explain>
      <paraID>2A1EBE9D</paraID>
      <start>62</start>
      <end>63</end>
      <status>unmodified</status>
      <modifiedWord/>
      <trackRevisions>false</trackRevisions>
    </reviewItem>
    <reviewItem>
      <errorID>38cb744e-ff37-4788-9c88-c73a1a4cd273</errorID>
      <errorWord>）</errorWord>
      <group>L1_Punc</group>
      <groupName>标点问题</groupName>
      <ability>L2_Punc_CN</ability>
      <abilityName>标点符号检查</abilityName>
      <candidateList/>
      <explain>同一形式括号套用。</explain>
      <paraID>2A1EBE9D</paraID>
      <start>64</start>
      <end>65</end>
      <status>unmodified</status>
      <modifiedWord/>
      <trackRevisions>false</trackRevisions>
    </reviewItem>
    <reviewItem>
      <errorID>3f0d9dbb-d1f0-4ba0-acd7-1fa70cf09790</errorID>
      <errorWord>（</errorWord>
      <group>L1_Punc</group>
      <groupName>标点问题</groupName>
      <ability>L2_Punc_CN</ability>
      <abilityName>标点符号检查</abilityName>
      <candidateList/>
      <explain>同一形式括号套用。</explain>
      <paraID>2A1EBE9D</paraID>
      <start>66</start>
      <end>67</end>
      <status>unmodified</status>
      <modifiedWord/>
      <trackRevisions>false</trackRevisions>
    </reviewItem>
    <reviewItem>
      <errorID>a91836ec-b2a3-4228-b4c6-24201fe1bf61</errorID>
      <errorWord>）</errorWord>
      <group>L1_Punc</group>
      <groupName>标点问题</groupName>
      <ability>L2_Punc_CN</ability>
      <abilityName>标点符号检查</abilityName>
      <candidateList/>
      <explain>同一形式括号套用。</explain>
      <paraID>2A1EBE9D</paraID>
      <start>68</start>
      <end>69</end>
      <status>unmodified</status>
      <modifiedWord/>
      <trackRevisions>false</trackRevisions>
    </reviewItem>
    <reviewItem>
      <errorID>8b1a9aa6-8247-484c-b4a0-e95bcf7c1c32</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145E6F5F</paraID>
      <start>0</start>
      <end>3</end>
      <status>unmodified</status>
      <modifiedWord/>
      <trackRevisions>false</trackRevisions>
    </reviewItem>
    <reviewItem>
      <errorID>093da8b1-72f9-4040-a865-f41fa4b0a86f</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3961139E</paraID>
      <start>0</start>
      <end>3</end>
      <status>unmodified</status>
      <modifiedWord/>
      <trackRevisions>false</trackRevisions>
    </reviewItem>
    <reviewItem>
      <errorID>478a9191-9542-4a8b-8035-c4296c33dfa1</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68C8780A</paraID>
      <start>0</start>
      <end>3</end>
      <status>unmodified</status>
      <modifiedWord/>
      <trackRevisions>false</trackRevisions>
    </reviewItem>
    <reviewItem>
      <errorID>6f19ba56-799b-4376-a920-d5e84a168553</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228DE238</paraID>
      <start>0</start>
      <end>3</end>
      <status>unmodified</status>
      <modifiedWord/>
      <trackRevisions>false</trackRevisions>
    </reviewItem>
    <reviewItem>
      <errorID>7fc47f5b-5404-4c76-bd23-939b6c0398a5</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163CAE46</paraID>
      <start>0</start>
      <end>3</end>
      <status>unmodified</status>
      <modifiedWord/>
      <trackRevisions>false</trackRevisions>
    </reviewItem>
    <reviewItem>
      <errorID>47b7c331-9017-4a3a-a9a5-5e3c0258935a</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7E32C30</paraID>
      <start>0</start>
      <end>3</end>
      <status>unmodified</status>
      <modifiedWord/>
      <trackRevisions>false</trackRevisions>
    </reviewItem>
    <reviewItem>
      <errorID>319c07bb-4b7e-4c15-9d76-e2ba561816e9</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3B4902EA</paraID>
      <start>0</start>
      <end>3</end>
      <status>unmodified</status>
      <modifiedWord/>
      <trackRevisions>false</trackRevisions>
    </reviewItem>
    <reviewItem>
      <errorID>833e632c-8753-43f5-a150-93acff8b9999</errorID>
      <errorWord>【2002】1980号</errorWord>
      <group>L1_Knowledge</group>
      <groupName>知识性问题</groupName>
      <ability>L2_Knowledge</ability>
      <abilityName>其他知识</abilityName>
      <candidateList>
        <item>〔2002〕1980号</item>
      </candidateList>
      <explain>发文字号格式错误。</explain>
      <paraID> C4E7996</paraID>
      <start>39</start>
      <end>50</end>
      <status>unmodified</status>
      <modifiedWord/>
      <trackRevisions>false</trackRevisions>
    </reviewItem>
    <reviewItem>
      <errorID>a838acdc-a846-4a3d-bdde-43204d8f0e43</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5CF42530</paraID>
      <start>0</start>
      <end>3</end>
      <status>unmodified</status>
      <modifiedWord/>
      <trackRevisions>false</trackRevisions>
    </reviewItem>
    <reviewItem>
      <errorID>dcb5426c-8096-4107-9506-f35e0754e8c1</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B779192</paraID>
      <start>0</start>
      <end>3</end>
      <status>unmodified</status>
      <modifiedWord/>
      <trackRevisions>false</trackRevisions>
    </reviewItem>
    <reviewItem>
      <errorID>ed36e8d6-c051-464d-ba83-8a72e2540d2a</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5A32B0CC</paraID>
      <start>0</start>
      <end>3</end>
      <status>unmodified</status>
      <modifiedWord/>
      <trackRevisions>false</trackRevisions>
    </reviewItem>
    <reviewItem>
      <errorID>19892bc1-2f78-496a-a88f-606cd641012d</errorID>
      <errorWord>间</errorWord>
      <group>L1_Word</group>
      <groupName>字词问题</groupName>
      <ability>L2_Typo</ability>
      <abilityName>字词错误</abilityName>
      <candidateList>
        <item>间之</item>
      </candidateList>
      <explain/>
      <paraID>55C6EF9C</paraID>
      <start>13</start>
      <end>14</end>
      <status>unmodified</status>
      <modifiedWord/>
      <trackRevisions>false</trackRevisions>
    </reviewItem>
    <reviewItem>
      <errorID>dbc88b85-2132-4c05-b38a-fc1b67fd6da9</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CF3762E</paraID>
      <start>0</start>
      <end>3</end>
      <status>unmodified</status>
      <modifiedWord/>
      <trackRevisions>false</trackRevisions>
    </reviewItem>
    <reviewItem>
      <errorID>106a07f8-75d2-4603-a06a-d91542a32217</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12BD9229</paraID>
      <start>0</start>
      <end>3</end>
      <status>unmodified</status>
      <modifiedWord/>
      <trackRevisions>false</trackRevisions>
    </reviewItem>
    <reviewItem>
      <errorID>ff7a946e-41db-4d7f-b487-d130ec143bcb</errorID>
      <errorWord>涉及到</errorWord>
      <group>L1_Grammar</group>
      <groupName>语法问题</groupName>
      <ability>L2_Grammar</ability>
      <abilityName>语法错误</abilityName>
      <candidateList>
        <item>涉及</item>
      </candidateList>
      <explain>该表达中的“涉及到”存在语义重复。【词汇解析】涉及：牵涉到，关联到。包含了“到”的意思。</explain>
      <paraID>1FCB1A03</paraID>
      <start>14</start>
      <end>17</end>
      <status>unmodified</status>
      <modifiedWord/>
      <trackRevisions>false</trackRevisions>
    </reviewItem>
    <reviewItem>
      <errorID>816335a7-f568-44d1-87da-19752a52339a</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36067A1A</paraID>
      <start>0</start>
      <end>3</end>
      <status>unmodified</status>
      <modifiedWord/>
      <trackRevisions>false</trackRevisions>
    </reviewItem>
    <reviewItem>
      <errorID>559148f4-9680-406a-be56-061833a1c21b</errorID>
      <errorWord>法律、法规</errorWord>
      <group>L1_Word</group>
      <groupName>字词问题</groupName>
      <ability>L2_Typo</ability>
      <abilityName>字词错误</abilityName>
      <candidateList>
        <item>法律法规</item>
      </candidateList>
      <explain/>
      <paraID>1D66035B</paraID>
      <start>5</start>
      <end>10</end>
      <status>unmodified</status>
      <modifiedWord/>
      <trackRevisions>false</trackRevisions>
    </reviewItem>
    <reviewItem>
      <errorID>ed1d4f5e-4994-4b06-bd72-4967fdccce2b</errorID>
      <errorWord>保持通讯畅通</errorWord>
      <group>L1_Word</group>
      <groupName>字词问题</groupName>
      <ability>L2_Typo</ability>
      <abilityName>字词错误</abilityName>
      <candidateList>
        <item>保持通信畅通</item>
      </candidateList>
      <explain/>
      <paraID>5902B875</paraID>
      <start>20</start>
      <end>26</end>
      <status>unmodified</status>
      <modifiedWord/>
      <trackRevisions>false</trackRevisions>
    </reviewItem>
    <reviewItem>
      <errorID>0bc5bb50-2695-4b8e-8174-d97f49ef60ee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33D745A7</paraID>
      <start>0</start>
      <end>2</end>
      <status>unmodified</status>
      <modifiedWord/>
      <trackRevisions>false</trackRevisions>
    </reviewItem>
    <reviewItem>
      <errorID>e8c0f7f3-5380-4156-9349-f8ef82b71007</errorID>
      <errorWord>&lt;</errorWord>
      <group>L1_Format</group>
      <groupName>格式问题</groupName>
      <ability>L2_HalfPunc_CN</ability>
      <abilityName>全半角检查</abilityName>
      <candidateList>
        <item>〈</item>
      </candidateList>
      <explain>文本全半角错误。</explain>
      <paraID>56B35B1B</paraID>
      <start>38</start>
      <end>39</end>
      <status>unmodified</status>
      <modifiedWord/>
      <trackRevisions>false</trackRevisions>
    </reviewItem>
    <reviewItem>
      <errorID>9768de2a-a7bd-4a31-b3a5-c53ac5930e74</errorID>
      <errorWord>&lt;</errorWord>
      <group>L1_Format</group>
      <groupName>格式问题</groupName>
      <ability>L2_HalfPunc_CN</ability>
      <abilityName>全半角检查</abilityName>
      <candidateList>
        <item>〈</item>
      </candidateList>
      <explain>文本全半角错误。</explain>
      <paraID>2C5026BD</paraID>
      <start>38</start>
      <end>39</end>
      <status>unmodified</status>
      <modifiedWord/>
      <trackRevisions>false</trackRevisions>
    </reviewItem>
    <reviewItem>
      <errorID>1f960ff2-5b48-4526-a531-18c145f4bc17</errorID>
      <errorWord>&lt;</errorWord>
      <group>L1_Format</group>
      <groupName>格式问题</groupName>
      <ability>L2_HalfPunc_CN</ability>
      <abilityName>全半角检查</abilityName>
      <candidateList>
        <item>〈</item>
      </candidateList>
      <explain>文本全半角错误。</explain>
      <paraID>125393CF</paraID>
      <start>26</start>
      <end>27</end>
      <status>unmodified</status>
      <modifiedWord/>
      <trackRevisions>false</trackRevisions>
    </reviewItem>
    <reviewItem>
      <errorID>973a7d56-4a82-478e-b0f2-eac91c521d27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3CD56C9F</paraID>
      <start>0</start>
      <end>2</end>
      <status>unmodified</status>
      <modifiedWord/>
      <trackRevisions>false</trackRevisions>
    </reviewItem>
    <reviewItem>
      <errorID>755f6caa-cfae-4a04-b6e8-273b2b101a96</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36D7FF3E</paraID>
      <start>0</start>
      <end>3</end>
      <status>unmodified</status>
      <modifiedWord/>
      <trackRevisions>false</trackRevisions>
    </reviewItem>
    <reviewItem>
      <errorID>d1cc1477-1f49-417a-af70-d0fe480f7bfe</errorID>
      <errorWord>，</errorWord>
      <group>L1_Word</group>
      <groupName>字词问题</groupName>
      <ability>L2_Typo</ability>
      <abilityName>字词错误</abilityName>
      <candidateList>
        <item>，在</item>
      </candidateList>
      <explain/>
      <paraID>6C5EF561</paraID>
      <start>45</start>
      <end>46</end>
      <status>unmodified</status>
      <modifiedWord/>
      <trackRevisions>false</trackRevisions>
    </reviewItem>
    <reviewItem>
      <errorID>e54e8b07-fc78-477b-abee-aeb1cb5b79de</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2B982332</paraID>
      <start>0</start>
      <end>3</end>
      <status>unmodified</status>
      <modifiedWord/>
      <trackRevisions>false</trackRevisions>
    </reviewItem>
    <reviewItem>
      <errorID>7bc2f227-61a9-4ac8-8f20-1c5dff9315f4</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5B563762</paraID>
      <start>0</start>
      <end>3</end>
      <status>unmodified</status>
      <modifiedWord/>
      <trackRevisions>false</trackRevisions>
    </reviewItem>
    <reviewItem>
      <errorID>f04dfd35-bac9-46c1-ab86-61efb2e99114</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574F33B7</paraID>
      <start>0</start>
      <end>3</end>
      <status>unmodified</status>
      <modifiedWord/>
      <trackRevisions>false</trackRevisions>
    </reviewItem>
    <reviewItem>
      <errorID>5968c67d-2892-4aee-abb6-3e4e25cc8ebf</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7286E2C1</paraID>
      <start>0</start>
      <end>3</end>
      <status>unmodified</status>
      <modifiedWord/>
      <trackRevisions>false</trackRevisions>
    </reviewItem>
    <reviewItem>
      <errorID>d48eaf51-4efd-4395-b4ab-98e1f4177e0d</errorID>
      <errorWord>28、</errorWord>
      <group>L1_Format</group>
      <groupName>格式问题</groupName>
      <ability>L2_Ordinal</ability>
      <abilityName>序号格式</abilityName>
      <candidateList>
        <item>28.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7104EC89</paraID>
      <start>0</start>
      <end>3</end>
      <status>unmodified</status>
      <modifiedWord/>
      <trackRevisions>false</trackRevisions>
    </reviewItem>
    <reviewItem>
      <errorID>dcb81e26-3b28-45ea-9e48-b0a2e2dc8a0b</errorID>
      <errorWord>29、</errorWord>
      <group>L1_Format</group>
      <groupName>格式问题</groupName>
      <ability>L2_Ordinal</ability>
      <abilityName>序号格式</abilityName>
      <candidateList>
        <item>29.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2844B668</paraID>
      <start>0</start>
      <end>3</end>
      <status>unmodified</status>
      <modifiedWord/>
      <trackRevisions>false</trackRevisions>
    </reviewItem>
    <reviewItem>
      <errorID>56fec72d-12d7-413b-9243-684254b86386</errorID>
      <errorWord>，</errorWord>
      <group>L1_Word</group>
      <groupName>字词问题</groupName>
      <ability>L2_Typo</ability>
      <abilityName>字词错误</abilityName>
      <candidateList>
        <item>，具</item>
      </candidateList>
      <explain/>
      <paraID>62B5EEB1</paraID>
      <start>7</start>
      <end>8</end>
      <status>unmodified</status>
      <modifiedWord/>
      <trackRevisions>false</trackRevisions>
    </reviewItem>
    <reviewItem>
      <errorID>96f54aa5-3695-4852-aee0-be0ebebe266d</errorID>
      <errorWord>详实</errorWord>
      <group>L1_Word</group>
      <groupName>字词问题</groupName>
      <ability>L2_Typo</ability>
      <abilityName>字词错误</abilityName>
      <candidateList>
        <item>翔实</item>
      </candidateList>
      <explain/>
      <paraID> 319E3FE</paraID>
      <start>84</start>
      <end>86</end>
      <status>unmodified</status>
      <modifiedWord/>
      <trackRevisions>false</trackRevisions>
    </reviewItem>
    <reviewItem>
      <errorID>0acabc5d-4723-4ff2-b4a8-f187384c58de</errorID>
      <errorWord>需具备</errorWord>
      <group>L1_Word</group>
      <groupName>字词问题</groupName>
      <ability>L2_Typo</ability>
      <abilityName>字词错误</abilityName>
      <candidateList>
        <item>须具备</item>
      </candidateList>
      <explain/>
      <paraID>2884460B</paraID>
      <start>3</start>
      <end>6</end>
      <status>unmodified</status>
      <modifiedWord/>
      <trackRevisions>false</trackRevisions>
    </reviewItem>
    <reviewItem>
      <errorID>fc1bbabc-a84a-4dfc-a7aa-d93af6caadce</errorID>
      <errorWord>，</errorWord>
      <group>L1_Word</group>
      <groupName>字词问题</groupName>
      <ability>L2_Typo</ability>
      <abilityName>字词错误</abilityName>
      <candidateList>
        <item>，具</item>
      </candidateList>
      <explain/>
      <paraID>37BC8C1A</paraID>
      <start>9</start>
      <end>10</end>
      <status>unmodified</status>
      <modifiedWord/>
      <trackRevisions>false</trackRevisions>
    </reviewItem>
    <reviewItem>
      <errorID>7e3fe27c-0d25-4e6b-9a17-d07d3f933510</errorID>
      <errorWord>，</errorWord>
      <group>L1_Word</group>
      <groupName>字词问题</groupName>
      <ability>L2_Typo</ability>
      <abilityName>字词错误</abilityName>
      <candidateList>
        <item>，具</item>
      </candidateList>
      <explain/>
      <paraID>2A3E858D</paraID>
      <start>9</start>
      <end>10</end>
      <status>unmodified</status>
      <modifiedWord/>
      <trackRevisions>false</trackRevisions>
    </reviewItem>
    <reviewItem>
      <errorID>ae088fb8-b5b4-4877-b062-d0659abc7ecd</errorID>
      <errorWord>应有甲方</errorWord>
      <group>L1_Word</group>
      <groupName>字词问题</groupName>
      <ability>L2_Typo</ability>
      <abilityName>字词错误</abilityName>
      <candidateList>
        <item>应由甲方</item>
      </candidateList>
      <explain/>
      <paraID>7A753F5B</paraID>
      <start>37</start>
      <end>41</end>
      <status>unmodified</status>
      <modifiedWord/>
      <trackRevisions>false</trackRevisions>
    </reviewItem>
    <reviewItem>
      <errorID>c7d9bd1b-46be-459a-be76-0e9dc74b11e9</errorID>
      <errorWord>,</errorWord>
      <group>L1_Format</group>
      <groupName>格式问题</groupName>
      <ability>L2_HalfPunc_CN</ability>
      <abilityName>全半角检查</abilityName>
      <candidateList>
        <item>，</item>
      </candidateList>
      <explain>文本全半角错误。</explain>
      <paraID>29C7987B</paraID>
      <start>14</start>
      <end>15</end>
      <status>unmodified</status>
      <modifiedWord/>
      <trackRevisions>false</trackRevisions>
    </reviewItem>
    <reviewItem>
      <errorID>2a43fde2-6dea-4656-ad18-28f37e6cd82e</errorID>
      <errorWord>吗啡</errorWord>
      <group>L1_Sensitive</group>
      <groupName>敏感问题</groupName>
      <ability>L2_Prohibited</ability>
      <abilityName>违禁内容</abilityName>
      <candidateList/>
      <explain>【违禁内容】句中涉及国家法律明令禁止的违禁内容，请注意甄别。</explain>
      <paraID>6074CA9F</paraID>
      <start>9</start>
      <end>11</end>
      <status>unmodified</status>
      <modifiedWord/>
      <trackRevisions>false</trackRevisions>
    </reviewItem>
    <reviewItem>
      <errorID>c3c71430-e6b3-4800-b717-35331f92286c</errorID>
      <errorWord>可待因</errorWord>
      <group>L1_Sensitive</group>
      <groupName>敏感问题</groupName>
      <ability>L2_Prohibited</ability>
      <abilityName>违禁内容</abilityName>
      <candidateList/>
      <explain>【违禁内容】句中涉及国家法律明令禁止的违禁内容，请注意甄别。</explain>
      <paraID>6074CA9F</paraID>
      <start>12</start>
      <end>15</end>
      <status>unmodified</status>
      <modifiedWord/>
      <trackRevisions>false</trackRevisions>
    </reviewItem>
    <reviewItem>
      <errorID>82f7dca0-8b5c-47f2-912d-d4397f8611fe</errorID>
      <errorWord>地西泮</errorWord>
      <group>L1_Sensitive</group>
      <groupName>敏感问题</groupName>
      <ability>L2_Prohibited</ability>
      <abilityName>违禁内容</abilityName>
      <candidateList/>
      <explain>【违禁内容】句中涉及国家法律明令禁止的违禁内容，请注意甄别。</explain>
      <paraID> F509820</paraID>
      <start>11</start>
      <end>14</end>
      <status>unmodified</status>
      <modifiedWord/>
      <trackRevisions>false</trackRevisions>
    </reviewItem>
    <reviewItem>
      <errorID>ea96cf25-b293-432a-ad9e-df8748f9fecd</errorID>
      <errorWord>作</errorWord>
      <group>L1_Word</group>
      <groupName>字词问题</groupName>
      <ability>L2_Typo</ability>
      <abilityName>字词错误</abilityName>
      <candidateList>
        <item>做</item>
      </candidateList>
      <explain>存在发音相同字词的误用。</explain>
      <paraID>4839244F</paraID>
      <start>73</start>
      <end>74</end>
      <status>unmodified</status>
      <modifiedWord/>
      <trackRevisions>false</trackRevisions>
    </reviewItem>
    <reviewItem>
      <errorID>8759e8f0-21ca-44d0-a5de-47f616577b6d</errorID>
      <errorWord>[2017]43号</errorWord>
      <group>L1_Knowledge</group>
      <groupName>知识性问题</groupName>
      <ability>L2_Knowledge</ability>
      <abilityName>其他知识</abilityName>
      <candidateList>
        <item>〔2017〕43号</item>
      </candidateList>
      <explain>发文字号格式错误。</explain>
      <paraID>566B4D40</paraID>
      <start>114</start>
      <end>123</end>
      <status>unmodified</status>
      <modifiedWord/>
      <trackRevisions>false</trackRevisions>
    </reviewItem>
    <reviewItem>
      <errorID>0842d794-2d73-470f-bd38-4ec089b7f1a7</errorID>
      <errorWord>，</errorWord>
      <group>L1_Word</group>
      <groupName>字词问题</groupName>
      <ability>L2_Typo</ability>
      <abilityName>字词错误</abilityName>
      <candidateList>
        <item>，并</item>
      </candidateList>
      <explain/>
      <paraID>7434D0F5</paraID>
      <start>179</start>
      <end>180</end>
      <status>unmodified</status>
      <modifiedWord/>
      <trackRevisions>false</trackRevisions>
    </reviewItem>
    <reviewItem>
      <errorID>65abbd1a-3760-4f22-88ce-cc20f2e0a7e1</errorID>
      <errorWord>配合为</errorWord>
      <group>L1_Word</group>
      <groupName>字词问题</groupName>
      <ability>L2_Typo</ability>
      <abilityName>字词错误</abilityName>
      <candidateList>
        <item>配合</item>
      </candidateList>
      <explain>〈形〉合在一起显得合适；相称：绿油油的枝叶衬托着红艳艳的花朵，那么～，那么美丽。</explain>
      <paraID>3E925468</paraID>
      <start>61</start>
      <end>64</end>
      <status>unmodified</status>
      <modifiedWord/>
      <trackRevisions>false</trackRevisions>
    </reviewItem>
    <reviewItem>
      <errorID>162f0e37-14b0-4d49-880d-8b853f51fd9c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72C65884</paraID>
      <start>0</start>
      <end>2</end>
      <status>unmodified</status>
      <modifiedWord/>
      <trackRevisions>false</trackRevisions>
    </reviewItem>
    <reviewItem>
      <errorID>0242c36e-6938-44b5-a6b9-4446e9540728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608023B6</paraID>
      <start>0</start>
      <end>2</end>
      <status>unmodified</status>
      <modifiedWord/>
      <trackRevisions>false</trackRevisions>
    </reviewItem>
    <reviewItem>
      <errorID>bb34b41b-dbc8-43e2-aa8a-9b108189da78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6B4FC91</paraID>
      <start>0</start>
      <end>2</end>
      <status>unmodified</status>
      <modifiedWord/>
      <trackRevisions>false</trackRevisions>
    </reviewItem>
    <reviewItem>
      <errorID>6674a77f-9004-4ef1-8d27-9ad7da99640f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4125E56C</paraID>
      <start>0</start>
      <end>2</end>
      <status>unmodified</status>
      <modifiedWord/>
      <trackRevisions>false</trackRevisions>
    </reviewItem>
    <reviewItem>
      <errorID>18f21dcf-a78e-4ba6-8543-ce0786219954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54A7334D</paraID>
      <start>0</start>
      <end>2</end>
      <status>unmodified</status>
      <modifiedWord/>
      <trackRevisions>false</trackRevisions>
    </reviewItem>
    <reviewItem>
      <errorID>5e45a0e9-08c0-411c-9344-dfc1145454c0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4BC56457</paraID>
      <start>0</start>
      <end>2</end>
      <status>unmodified</status>
      <modifiedWord/>
      <trackRevisions>false</trackRevisions>
    </reviewItem>
    <reviewItem>
      <errorID>2f27ae58-f2e6-4db1-b560-dcc7e9d128f1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3259AC7</paraID>
      <start>0</start>
      <end>2</end>
      <status>unmodified</status>
      <modifiedWord/>
      <trackRevisions>false</trackRevisions>
    </reviewItem>
    <reviewItem>
      <errorID>4e08ef2d-f391-4a4a-be8e-b4bd67f0359a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1D56BE59</paraID>
      <start>0</start>
      <end>2</end>
      <status>unmodified</status>
      <modifiedWord/>
      <trackRevisions>false</trackRevisions>
    </reviewItem>
    <reviewItem>
      <errorID>5d5fd351-509f-4f0e-93dc-2a6b81566644</errorID>
      <errorWord>约</errorWord>
      <group>L1_Word</group>
      <groupName>字词问题</groupName>
      <ability>L2_Typo</ability>
      <abilityName>字词错误</abilityName>
      <candidateList>
        <item>约定</item>
      </candidateList>
      <explain/>
      <paraID>752B9EDB</paraID>
      <start>48</start>
      <end>49</end>
      <status>unmodified</status>
      <modifiedWord/>
      <trackRevisions>false</trackRevisions>
    </reviewItem>
    <reviewItem>
      <errorID>51f41761-c65a-4c37-96c9-b43d8665570d</errorID>
      <errorWord>１</errorWord>
      <group>L1_Format</group>
      <groupName>格式问题</groupName>
      <ability>L2_HalfPunc_CN</ability>
      <abilityName>全半角检查</abilityName>
      <candidateList>
        <item>1</item>
      </candidateList>
      <explain>文本全半角错误。</explain>
      <paraID>6C907AF1</paraID>
      <start>0</start>
      <end>1</end>
      <status>unmodified</status>
      <modifiedWord/>
      <trackRevisions>false</trackRevisions>
    </reviewItem>
    <reviewItem>
      <errorID>180fe77d-5ea7-42f6-9e44-7c62f9456581</errorID>
      <errorWord>２</errorWord>
      <group>L1_Format</group>
      <groupName>格式问题</groupName>
      <ability>L2_HalfPunc_CN</ability>
      <abilityName>全半角检查</abilityName>
      <candidateList>
        <item>2</item>
      </candidateList>
      <explain>文本全半角错误。</explain>
      <paraID>14CE80EC</paraID>
      <start>0</start>
      <end>1</end>
      <status>unmodified</status>
      <modifiedWord/>
      <trackRevisions>false</trackRevisions>
    </reviewItem>
    <reviewItem>
      <errorID>efe5cc2a-4b6c-471a-8717-a4527d813c7d</errorID>
      <errorWord>３</errorWord>
      <group>L1_Format</group>
      <groupName>格式问题</groupName>
      <ability>L2_HalfPunc_CN</ability>
      <abilityName>全半角检查</abilityName>
      <candidateList>
        <item>3</item>
      </candidateList>
      <explain>文本全半角错误。</explain>
      <paraID>3FC494F3</paraID>
      <start>0</start>
      <end>1</end>
      <status>unmodified</status>
      <modifiedWord/>
      <trackRevisions>false</trackRevisions>
    </reviewItem>
    <reviewItem>
      <errorID>8998657e-bc48-4548-b0eb-a647fa97eef6</errorID>
      <errorWord>４</errorWord>
      <group>L1_Format</group>
      <groupName>格式问题</groupName>
      <ability>L2_HalfPunc_CN</ability>
      <abilityName>全半角检查</abilityName>
      <candidateList>
        <item>4</item>
      </candidateList>
      <explain>文本全半角错误。</explain>
      <paraID>7975B867</paraID>
      <start>0</start>
      <end>1</end>
      <status>unmodified</status>
      <modifiedWord/>
      <trackRevisions>false</trackRevisions>
    </reviewItem>
    <reviewItem>
      <errorID>95198e0e-687e-4ea7-a430-fe967cf5131e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48F75514</paraID>
      <start>0</start>
      <end>2</end>
      <status>unmodified</status>
      <modifiedWord/>
      <trackRevisions>false</trackRevisions>
    </reviewItem>
    <reviewItem>
      <errorID>f29119f4-944e-4291-8d4f-c4afc86dfcd5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6B341C69</paraID>
      <start>0</start>
      <end>2</end>
      <status>unmodified</status>
      <modifiedWord/>
      <trackRevisions>false</trackRevisions>
    </reviewItem>
    <reviewItem>
      <errorID>91f47a4f-2ce8-4cc4-bffe-2e4fb9a5bfaa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5DF2CE36</paraID>
      <start>0</start>
      <end>2</end>
      <status>unmodified</status>
      <modifiedWord/>
      <trackRevisions>false</trackRevisions>
    </reviewItem>
    <reviewItem>
      <errorID>f5504960-6fe3-48df-8a7a-8cc833ac07e8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7B7814E8</paraID>
      <start>0</start>
      <end>2</end>
      <status>unmodified</status>
      <modifiedWord/>
      <trackRevisions>false</trackRevisions>
    </reviewItem>
    <reviewItem>
      <errorID>44be51f2-6653-4ac1-8617-b04c51cc2fbb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C2819BB</paraID>
      <start>0</start>
      <end>2</end>
      <status>unmodified</status>
      <modifiedWord/>
      <trackRevisions>false</trackRevisions>
    </reviewItem>
    <reviewItem>
      <errorID>9016234c-ddae-449f-b143-2c8dab8c8562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2BF9389A</paraID>
      <start>0</start>
      <end>2</end>
      <status>unmodified</status>
      <modifiedWord/>
      <trackRevisions>false</trackRevisions>
    </reviewItem>
    <reviewItem>
      <errorID>a0a8d1c7-1a0b-4556-b1aa-bff056a3d59e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78BC18FC</paraID>
      <start>0</start>
      <end>2</end>
      <status>unmodified</status>
      <modifiedWord/>
      <trackRevisions>false</trackRevisions>
    </reviewItem>
    <reviewItem>
      <errorID>99cf8a8e-d1ea-46f7-89e6-954755e69f66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49002B75</paraID>
      <start>0</start>
      <end>2</end>
      <status>unmodified</status>
      <modifiedWord/>
      <trackRevisions>false</trackRevisions>
    </reviewItem>
    <reviewItem>
      <errorID>dc8b92a8-1589-4024-afae-6455c4e7e364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294A9F2E</paraID>
      <start>0</start>
      <end>2</end>
      <status>unmodified</status>
      <modifiedWord/>
      <trackRevisions>false</trackRevisions>
    </reviewItem>
    <reviewItem>
      <errorID>6278bb9e-3c9e-485e-88af-ec41a66e8c3a</errorID>
      <errorWord>（</errorWord>
      <group>L1_Punc</group>
      <groupName>标点问题</groupName>
      <ability>L2_Punc_CN</ability>
      <abilityName>标点符号检查</abilityName>
      <candidateList/>
      <explain>同一形式括号套用。</explain>
      <paraID>31727DC8</paraID>
      <start>23</start>
      <end>24</end>
      <status>unmodified</status>
      <modifiedWord/>
      <trackRevisions>false</trackRevisions>
    </reviewItem>
    <reviewItem>
      <errorID>a4cedb0e-3a99-4162-87fc-53b5075ee9b9</errorID>
      <errorWord>）</errorWord>
      <group>L1_Punc</group>
      <groupName>标点问题</groupName>
      <ability>L2_Punc_CN</ability>
      <abilityName>标点符号检查</abilityName>
      <candidateList/>
      <explain>同一形式括号套用。</explain>
      <paraID>31727DC8</paraID>
      <start>29</start>
      <end>30</end>
      <status>unmodified</status>
      <modifiedWord/>
      <trackRevisions>false</trackRevisions>
    </reviewItem>
    <reviewItem>
      <errorID>df57eb12-03be-4c06-b515-b7328aac9361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1564706D</paraID>
      <start>0</start>
      <end>2</end>
      <status>unmodified</status>
      <modifiedWord/>
      <trackRevisions>false</trackRevisions>
    </reviewItem>
    <reviewItem>
      <errorID>85f0b691-7027-4f56-844c-373973b6a40b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3A1D0055</paraID>
      <start>0</start>
      <end>2</end>
      <status>unmodified</status>
      <modifiedWord/>
      <trackRevisions>false</trackRevisions>
    </reviewItem>
    <reviewItem>
      <errorID>201e6b80-bb48-49c7-a8d2-29ab27e162fc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1B029883</paraID>
      <start>0</start>
      <end>2</end>
      <status>unmodified</status>
      <modifiedWord/>
      <trackRevisions>false</trackRevisions>
    </reviewItem>
    <reviewItem>
      <errorID>38056d4e-1905-4278-b541-17988e77ec62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5A95DED4</paraID>
      <start>0</start>
      <end>2</end>
      <status>unmodified</status>
      <modifiedWord/>
      <trackRevisions>false</trackRevisions>
    </reviewItem>
    <reviewItem>
      <errorID>721c01ab-805b-4415-a3e3-3f207e97edbc</errorID>
      <errorWord>，</errorWord>
      <group>L1_Word</group>
      <groupName>字词问题</groupName>
      <ability>L2_Typo</ability>
      <abilityName>字词错误</abilityName>
      <candidateList>
        <item>，在</item>
      </candidateList>
      <explain/>
      <paraID>5A95DED4</paraID>
      <start>40</start>
      <end>41</end>
      <status>unmodified</status>
      <modifiedWord/>
      <trackRevisions>false</trackRevisions>
    </reviewItem>
    <reviewItem>
      <errorID>62467b21-01a8-4066-923c-6cf7332df2c3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4CD22886</paraID>
      <start>0</start>
      <end>2</end>
      <status>unmodified</status>
      <modifiedWord/>
      <trackRevisions>false</trackRevisions>
    </reviewItem>
    <reviewItem>
      <errorID>ab93870a-33b0-485a-a357-fdf5b4f79e5b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5F5C19D5</paraID>
      <start>0</start>
      <end>2</end>
      <status>unmodified</status>
      <modifiedWord/>
      <trackRevisions>false</trackRevisions>
    </reviewItem>
    <reviewItem>
      <errorID>6529e125-66a1-4ed0-b9df-1ab2325c888b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444AFB16</paraID>
      <start>0</start>
      <end>2</end>
      <status>unmodified</status>
      <modifiedWord/>
      <trackRevisions>false</trackRevisions>
    </reviewItem>
    <reviewItem>
      <errorID>1a22875e-6670-4c7b-8999-d2a9f289734b</errorID>
      <errorWord>间</errorWord>
      <group>L1_Word</group>
      <groupName>字词问题</groupName>
      <ability>L2_Typo</ability>
      <abilityName>字词错误</abilityName>
      <candidateList>
        <item>间内</item>
      </candidateList>
      <explain/>
      <paraID>444AFB16</paraID>
      <start>36</start>
      <end>37</end>
      <status>unmodified</status>
      <modifiedWord/>
      <trackRevisions>false</trackRevisions>
    </reviewItem>
    <reviewItem>
      <errorID>a04385f6-0872-4c4d-9bbb-a4f2424ebb92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BB28C22</paraID>
      <start>0</start>
      <end>2</end>
      <status>unmodified</status>
      <modifiedWord/>
      <trackRevisions>false</trackRevisions>
    </reviewItem>
    <reviewItem>
      <errorID>bf22a32b-27bb-4df9-89dc-fc43a8ce8970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2C6D127A</paraID>
      <start>0</start>
      <end>2</end>
      <status>unmodified</status>
      <modifiedWord/>
      <trackRevisions>false</trackRevisions>
    </reviewItem>
    <reviewItem>
      <errorID>4c1ea181-ce95-47b1-870f-6ba5e233777e</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663722AC</paraID>
      <start>7</start>
      <end>8</end>
      <status>unmodified</status>
      <modifiedWord/>
      <trackRevisions>false</trackRevisions>
    </reviewItem>
    <reviewItem>
      <errorID>bcf24beb-7eb8-4bdc-b54c-2f4e101a51a1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4BBD308</paraID>
      <start>0</start>
      <end>2</end>
      <status>unmodified</status>
      <modifiedWord/>
      <trackRevisions>false</trackRevisions>
    </reviewItem>
    <reviewItem>
      <errorID>346acbf1-5ee8-4365-87ba-7d5bf1a8893e</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 E7C41CF</paraID>
      <start>47</start>
      <end>48</end>
      <status>unmodified</status>
      <modifiedWord/>
      <trackRevisions>false</trackRevisions>
    </reviewItem>
    <reviewItem>
      <errorID>43774d71-b9d5-4377-a3e6-18e5d6e8bc82</errorID>
      <errorWord>〔2017〕 141号</errorWord>
      <group>L1_Knowledge</group>
      <groupName>知识性问题</groupName>
      <ability>L2_Knowledge</ability>
      <abilityName>其他知识</abilityName>
      <candidateList>
        <item>〔2017〕141号</item>
      </candidateList>
      <explain>发文字号格式错误。</explain>
      <paraID>24EA9166</paraID>
      <start>49</start>
      <end>60</end>
      <status>unmodified</status>
      <modifiedWord/>
      <trackRevisions>false</trackRevisions>
    </reviewItem>
    <reviewItem>
      <errorID>47b2b6b5-a591-4b82-96a3-9f3398c9bba0</errorID>
      <errorWord>（</errorWord>
      <group>L1_Punc</group>
      <groupName>标点问题</groupName>
      <ability>L2_Punc_CN</ability>
      <abilityName>标点符号检查</abilityName>
      <candidateList/>
      <explain>同一形式括号套用。</explain>
      <paraID>43CAD07E</paraID>
      <start>19</start>
      <end>20</end>
      <status>unmodified</status>
      <modifiedWord/>
      <trackRevisions>false</trackRevisions>
    </reviewItem>
    <reviewItem>
      <errorID>0e47b94d-266d-454d-9d52-ae98ceed2add</errorID>
      <errorWord>）</errorWord>
      <group>L1_Punc</group>
      <groupName>标点问题</groupName>
      <ability>L2_Punc_CN</ability>
      <abilityName>标点符号检查</abilityName>
      <candidateList/>
      <explain>同一形式括号套用。</explain>
      <paraID>43CAD07E</paraID>
      <start>29</start>
      <end>30</end>
      <status>unmodified</status>
      <modifiedWord/>
      <trackRevisions>false</trackRevisions>
    </reviewItem>
  </reviewItems>
  <config/>
</contractReview>
</file>

<file path=customXml/item3.xml><?xml version="1.0" encoding="utf-8"?>
<b:Sources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b93b84-c666-4adf-a859-c7a63302cfdd}">
  <ds:schemaRefs/>
</ds:datastoreItem>
</file>

<file path=customXml/itemProps3.xml><?xml version="1.0" encoding="utf-8"?>
<ds:datastoreItem xmlns:ds="http://schemas.openxmlformats.org/officeDocument/2006/customXml" ds:itemID="{A6DE6E3C-7F07-4C36-A4FD-47C49AEABE38}">
  <ds:schemaRefs/>
</ds:datastoreItem>
</file>

<file path=docProps/app.xml><?xml version="1.0" encoding="utf-8"?>
<Properties xmlns="http://schemas.openxmlformats.org/officeDocument/2006/extended-properties" xmlns:vt="http://schemas.openxmlformats.org/officeDocument/2006/docPropsVTypes">
  <Template>Normal</Template>
  <Company>江苏省设备成套有限公司</Company>
  <Pages>54</Pages>
  <Words>147</Words>
  <Characters>161</Characters>
  <Lines>209</Lines>
  <Paragraphs>59</Paragraphs>
  <TotalTime>9</TotalTime>
  <ScaleCrop>false</ScaleCrop>
  <LinksUpToDate>false</LinksUpToDate>
  <CharactersWithSpaces>174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2025-07-22T14:58:00Z</dcterms:created>
  <dc:creator>Lenovo User</dc:creator>
  <cp:lastModifiedBy>吴梦颖</cp:lastModifiedBy>
  <cp:lastPrinted>2026-05-18T18:49:00Z</cp:lastPrinted>
  <dcterms:modified xsi:type="dcterms:W3CDTF">2026-05-29T06:06:58Z</dcterms:modified>
  <dc:title>公开招标文件</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DD03BF4DAFDA4A0DA3AAEF595D16E4D9_13</vt:lpwstr>
  </property>
  <property fmtid="{D5CDD505-2E9C-101B-9397-08002B2CF9AE}" pid="4" name="KSOTemplateDocerSaveRecord">
    <vt:lpwstr>eyJoZGlkIjoiYTYzMWRjMTFiMDBkYjlmYTM1NTQ3NmI0M2UyNWNiNTkiLCJ1c2VySWQiOiIyNjY0Njk0MDEifQ==</vt:lpwstr>
  </property>
</Properties>
</file>