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C8EB4A">
      <w:pPr>
        <w:keepNext w:val="0"/>
        <w:keepLines w:val="0"/>
        <w:pageBreakBefore w:val="0"/>
        <w:widowControl w:val="0"/>
        <w:kinsoku/>
        <w:wordWrap/>
        <w:overflowPunct/>
        <w:topLinePunct w:val="0"/>
        <w:autoSpaceDE/>
        <w:autoSpaceDN/>
        <w:bidi w:val="0"/>
        <w:adjustRightInd/>
        <w:snapToGrid/>
        <w:spacing w:line="700" w:lineRule="exact"/>
        <w:ind w:firstLine="1320" w:firstLineChars="300"/>
        <w:jc w:val="both"/>
        <w:textAlignment w:val="auto"/>
        <w:rPr>
          <w:rFonts w:hint="eastAsia" w:ascii="方正小标宋_GBK" w:eastAsia="方正小标宋_GBK"/>
          <w:sz w:val="44"/>
          <w:szCs w:val="44"/>
          <w:lang w:eastAsia="zh-CN"/>
        </w:rPr>
      </w:pPr>
      <w:r>
        <w:rPr>
          <w:rFonts w:hint="eastAsia" w:ascii="方正小标宋_GBK" w:eastAsia="方正小标宋_GBK"/>
          <w:sz w:val="44"/>
          <w:szCs w:val="44"/>
          <w:lang w:val="en-US" w:eastAsia="zh-CN"/>
        </w:rPr>
        <w:t>桥林街道林山雅苑三期幼儿园</w:t>
      </w:r>
      <w:r>
        <w:rPr>
          <w:rFonts w:hint="eastAsia" w:ascii="方正小标宋_GBK" w:eastAsia="方正小标宋_GBK"/>
          <w:sz w:val="44"/>
          <w:szCs w:val="44"/>
          <w:lang w:eastAsia="zh-CN"/>
        </w:rPr>
        <w:t>项目</w:t>
      </w:r>
    </w:p>
    <w:p w14:paraId="7EAB0FC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eastAsia="方正小标宋_GBK"/>
          <w:sz w:val="44"/>
          <w:szCs w:val="44"/>
          <w:lang w:eastAsia="zh-CN"/>
        </w:rPr>
      </w:pPr>
      <w:r>
        <w:rPr>
          <w:rFonts w:hint="eastAsia" w:ascii="方正小标宋_GBK" w:eastAsia="方正小标宋_GBK"/>
          <w:sz w:val="44"/>
          <w:szCs w:val="44"/>
          <w:lang w:eastAsia="zh-CN"/>
        </w:rPr>
        <w:t>绩效自评价报告</w:t>
      </w:r>
    </w:p>
    <w:p w14:paraId="4A9B846D">
      <w:pPr>
        <w:spacing w:line="574" w:lineRule="exact"/>
        <w:jc w:val="center"/>
        <w:rPr>
          <w:rFonts w:hint="eastAsia" w:ascii="方正小标宋_GBK" w:eastAsia="方正小标宋_GBK"/>
          <w:sz w:val="44"/>
          <w:szCs w:val="44"/>
          <w:lang w:eastAsia="zh-CN"/>
        </w:rPr>
      </w:pPr>
    </w:p>
    <w:p w14:paraId="03EB55CD">
      <w:pPr>
        <w:spacing w:line="574" w:lineRule="exact"/>
        <w:jc w:val="center"/>
        <w:rPr>
          <w:rFonts w:hint="eastAsia" w:ascii="方正小标宋_GBK" w:eastAsia="方正小标宋_GBK"/>
          <w:sz w:val="44"/>
          <w:szCs w:val="44"/>
          <w:lang w:eastAsia="zh-CN"/>
        </w:rPr>
      </w:pPr>
    </w:p>
    <w:p w14:paraId="66576300">
      <w:pPr>
        <w:spacing w:line="574" w:lineRule="exact"/>
        <w:jc w:val="center"/>
        <w:rPr>
          <w:rFonts w:hint="eastAsia" w:ascii="方正小标宋_GBK" w:eastAsia="方正小标宋_GBK"/>
          <w:sz w:val="44"/>
          <w:szCs w:val="44"/>
          <w:lang w:eastAsia="zh-CN"/>
        </w:rPr>
      </w:pPr>
    </w:p>
    <w:p w14:paraId="1BDB69E4">
      <w:pPr>
        <w:spacing w:line="574" w:lineRule="exact"/>
        <w:jc w:val="center"/>
        <w:rPr>
          <w:rFonts w:hint="eastAsia" w:ascii="方正小标宋_GBK" w:eastAsia="方正小标宋_GBK"/>
          <w:sz w:val="44"/>
          <w:szCs w:val="44"/>
          <w:lang w:eastAsia="zh-CN"/>
        </w:rPr>
      </w:pPr>
    </w:p>
    <w:p w14:paraId="43740633">
      <w:pPr>
        <w:spacing w:line="574" w:lineRule="exact"/>
        <w:jc w:val="center"/>
        <w:rPr>
          <w:rFonts w:hint="eastAsia" w:ascii="方正小标宋_GBK" w:eastAsia="方正小标宋_GBK"/>
          <w:sz w:val="44"/>
          <w:szCs w:val="44"/>
          <w:lang w:eastAsia="zh-CN"/>
        </w:rPr>
      </w:pPr>
    </w:p>
    <w:p w14:paraId="2C287B2D">
      <w:pPr>
        <w:spacing w:line="574" w:lineRule="exact"/>
        <w:jc w:val="center"/>
        <w:rPr>
          <w:rFonts w:hint="eastAsia" w:ascii="方正小标宋_GBK" w:eastAsia="方正小标宋_GBK"/>
          <w:sz w:val="44"/>
          <w:szCs w:val="44"/>
          <w:lang w:eastAsia="zh-CN"/>
        </w:rPr>
      </w:pPr>
    </w:p>
    <w:p w14:paraId="439C446B">
      <w:pPr>
        <w:spacing w:line="574" w:lineRule="exact"/>
        <w:jc w:val="center"/>
        <w:rPr>
          <w:rFonts w:hint="eastAsia" w:ascii="方正小标宋_GBK" w:eastAsia="方正小标宋_GBK"/>
          <w:sz w:val="44"/>
          <w:szCs w:val="44"/>
          <w:lang w:eastAsia="zh-CN"/>
        </w:rPr>
      </w:pPr>
    </w:p>
    <w:p w14:paraId="51A2F6EE">
      <w:pPr>
        <w:spacing w:line="574" w:lineRule="exact"/>
        <w:jc w:val="center"/>
        <w:rPr>
          <w:rFonts w:hint="eastAsia" w:ascii="方正小标宋_GBK" w:eastAsia="方正小标宋_GBK"/>
          <w:sz w:val="44"/>
          <w:szCs w:val="44"/>
          <w:lang w:eastAsia="zh-CN"/>
        </w:rPr>
      </w:pPr>
    </w:p>
    <w:p w14:paraId="7482735C">
      <w:pPr>
        <w:spacing w:line="574" w:lineRule="exact"/>
        <w:jc w:val="center"/>
        <w:rPr>
          <w:rFonts w:hint="eastAsia" w:ascii="方正小标宋_GBK" w:eastAsia="方正小标宋_GBK"/>
          <w:sz w:val="44"/>
          <w:szCs w:val="44"/>
          <w:lang w:eastAsia="zh-CN"/>
        </w:rPr>
      </w:pPr>
    </w:p>
    <w:p w14:paraId="640D269C">
      <w:pPr>
        <w:spacing w:line="574" w:lineRule="exact"/>
        <w:jc w:val="center"/>
        <w:rPr>
          <w:rFonts w:hint="eastAsia" w:ascii="方正小标宋_GBK" w:eastAsia="方正小标宋_GBK"/>
          <w:sz w:val="44"/>
          <w:szCs w:val="44"/>
          <w:lang w:eastAsia="zh-CN"/>
        </w:rPr>
      </w:pPr>
    </w:p>
    <w:p w14:paraId="74029043">
      <w:pPr>
        <w:spacing w:line="574" w:lineRule="exact"/>
        <w:jc w:val="center"/>
        <w:rPr>
          <w:rFonts w:hint="eastAsia" w:ascii="方正小标宋_GBK" w:eastAsia="方正小标宋_GBK"/>
          <w:sz w:val="44"/>
          <w:szCs w:val="44"/>
          <w:lang w:eastAsia="zh-CN"/>
        </w:rPr>
      </w:pPr>
    </w:p>
    <w:p w14:paraId="0FA42F65">
      <w:pPr>
        <w:spacing w:line="574" w:lineRule="exact"/>
        <w:jc w:val="center"/>
        <w:rPr>
          <w:rFonts w:hint="eastAsia" w:ascii="方正小标宋_GBK" w:eastAsia="方正小标宋_GBK"/>
          <w:sz w:val="44"/>
          <w:szCs w:val="44"/>
          <w:lang w:eastAsia="zh-CN"/>
        </w:rPr>
      </w:pPr>
    </w:p>
    <w:p w14:paraId="4B282D5F">
      <w:pPr>
        <w:spacing w:line="574" w:lineRule="exact"/>
        <w:jc w:val="center"/>
        <w:rPr>
          <w:rFonts w:hint="eastAsia" w:ascii="方正小标宋_GBK" w:eastAsia="方正小标宋_GBK"/>
          <w:sz w:val="44"/>
          <w:szCs w:val="44"/>
          <w:lang w:eastAsia="zh-CN"/>
        </w:rPr>
      </w:pPr>
    </w:p>
    <w:p w14:paraId="3AD1DD20">
      <w:pPr>
        <w:spacing w:line="574" w:lineRule="exact"/>
        <w:jc w:val="center"/>
        <w:rPr>
          <w:rFonts w:hint="eastAsia" w:ascii="方正小标宋_GBK" w:eastAsia="方正小标宋_GBK"/>
          <w:sz w:val="44"/>
          <w:szCs w:val="44"/>
          <w:lang w:eastAsia="zh-CN"/>
        </w:rPr>
      </w:pPr>
    </w:p>
    <w:p w14:paraId="36A86CAB">
      <w:pPr>
        <w:spacing w:line="574" w:lineRule="exact"/>
        <w:jc w:val="center"/>
        <w:rPr>
          <w:rFonts w:hint="eastAsia" w:ascii="方正小标宋_GBK" w:eastAsia="方正小标宋_GBK"/>
          <w:sz w:val="44"/>
          <w:szCs w:val="44"/>
          <w:lang w:eastAsia="zh-CN"/>
        </w:rPr>
      </w:pPr>
    </w:p>
    <w:p w14:paraId="54578378">
      <w:pPr>
        <w:spacing w:line="574" w:lineRule="exact"/>
        <w:jc w:val="center"/>
        <w:rPr>
          <w:rFonts w:hint="eastAsia" w:ascii="方正小标宋_GBK" w:eastAsia="方正小标宋_GBK"/>
          <w:sz w:val="44"/>
          <w:szCs w:val="44"/>
          <w:lang w:eastAsia="zh-CN"/>
        </w:rPr>
      </w:pPr>
    </w:p>
    <w:p w14:paraId="0021C26E">
      <w:pPr>
        <w:spacing w:line="574" w:lineRule="exact"/>
        <w:jc w:val="both"/>
        <w:rPr>
          <w:rFonts w:hint="eastAsia" w:ascii="方正小标宋_GBK" w:eastAsia="方正小标宋_GBK"/>
          <w:sz w:val="44"/>
          <w:szCs w:val="44"/>
          <w:lang w:eastAsia="zh-CN"/>
        </w:rPr>
      </w:pPr>
    </w:p>
    <w:p w14:paraId="08DED767">
      <w:pPr>
        <w:spacing w:line="574" w:lineRule="exact"/>
        <w:jc w:val="center"/>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南京市浦口区人民政府桥林街道办事处</w:t>
      </w:r>
    </w:p>
    <w:p w14:paraId="34BAEA6C">
      <w:pPr>
        <w:spacing w:line="574" w:lineRule="exact"/>
        <w:jc w:val="center"/>
        <w:rPr>
          <w:rFonts w:hint="default" w:ascii="方正小标宋_GBK" w:eastAsia="方正小标宋_GBK"/>
          <w:sz w:val="44"/>
          <w:szCs w:val="44"/>
          <w:lang w:val="en-US" w:eastAsia="zh-CN"/>
        </w:rPr>
      </w:pPr>
      <w:r>
        <w:rPr>
          <w:rFonts w:hint="default" w:ascii="Times New Roman" w:hAnsi="Times New Roman" w:eastAsia="方正仿宋_GBK" w:cs="Times New Roman"/>
          <w:sz w:val="32"/>
          <w:szCs w:val="32"/>
          <w:lang w:val="en-US" w:eastAsia="zh-CN"/>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年4月</w:t>
      </w:r>
    </w:p>
    <w:p w14:paraId="4BB62E9B">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一、项目情况</w:t>
      </w:r>
    </w:p>
    <w:p w14:paraId="15E298BE">
      <w:pPr>
        <w:keepNext w:val="0"/>
        <w:keepLines w:val="0"/>
        <w:pageBreakBefore w:val="0"/>
        <w:kinsoku/>
        <w:wordWrap/>
        <w:overflowPunct/>
        <w:topLinePunct w:val="0"/>
        <w:autoSpaceDE/>
        <w:autoSpaceDN/>
        <w:bidi w:val="0"/>
        <w:adjustRightInd/>
        <w:snapToGrid/>
        <w:spacing w:line="560" w:lineRule="exact"/>
        <w:ind w:firstLine="624" w:firstLineChars="200"/>
        <w:jc w:val="both"/>
        <w:textAlignment w:val="auto"/>
        <w:rPr>
          <w:rFonts w:hint="default" w:ascii="Times New Roman" w:hAnsi="Times New Roman" w:eastAsia="方正仿宋_GBK" w:cs="Times New Roman"/>
          <w:sz w:val="32"/>
          <w:szCs w:val="32"/>
          <w:lang w:eastAsia="zh-CN"/>
        </w:rPr>
      </w:pPr>
      <w:r>
        <w:rPr>
          <w:rFonts w:hint="eastAsia" w:ascii="方正楷体_GBK" w:hAnsi="方正楷体_GBK" w:eastAsia="方正楷体_GBK" w:cs="方正楷体_GBK"/>
          <w:spacing w:val="-4"/>
          <w:sz w:val="32"/>
          <w:szCs w:val="32"/>
          <w:lang w:eastAsia="zh-CN"/>
        </w:rPr>
        <w:t>（一）项目概况</w:t>
      </w:r>
    </w:p>
    <w:p w14:paraId="1DA8A5D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项目背景：学前教育是终身学习的开端，是国民教育体系的重要组成部分，是重要的社会公益事业。改革开放特别是新世纪以来，我国学前教育取得长足发展，普及程度逐步提高。但总体上看，学前教育仍是各级各类教育中的薄弱环节，主要表现为教育资源短缺、投入不足，师资队伍不健全，体制机制不完善，城乡区域发展不平衡，一些地方“入园难”问题突出。办好学前教育，关系亿万儿童的健康成长，关系千家万户的切身利益，关系国家和民族的未来。 </w:t>
      </w:r>
    </w:p>
    <w:p w14:paraId="50B6B8F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本项目拟建的幼儿园位于浦口区桥林新城西南部片区，是林山雅苑住宅小区的配套幼儿园项目，现林山雅苑一期、二期已于2019 年交付，林山雅苑三期正处于建设阶段。目前林山雅苑一期、二期适龄幼儿暂时借读于小区北侧约 2.5 公里的桥林街道中心幼儿园，但随着一期、二期入住率增加以及三期启动建设，同时桥林街道中心幼儿园距离小区较远，此法终究不是长久之计，故本项目幼儿园项目的建设迫在眉睫。 </w:t>
      </w:r>
    </w:p>
    <w:p w14:paraId="6166ECD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同时根据《区政府关于下达浦口区二〇二二年重点项目计划的通知》（浦政发〔2022〕2 号）安排，本项目已被列入《2022 年区重点产业、社会事业、乡村振兴 B 类项目表》之中。本项目幼儿园建成后可</w:t>
      </w:r>
      <w:r>
        <w:rPr>
          <w:rFonts w:hint="eastAsia" w:ascii="Times New Roman" w:hAnsi="Times New Roman" w:eastAsia="方正仿宋_GBK" w:cs="Times New Roman"/>
          <w:color w:val="000000"/>
          <w:kern w:val="0"/>
          <w:sz w:val="32"/>
          <w:szCs w:val="32"/>
          <w:lang w:val="en-US" w:eastAsia="zh-CN" w:bidi="ar"/>
        </w:rPr>
        <w:t>解决</w:t>
      </w:r>
      <w:r>
        <w:rPr>
          <w:rFonts w:hint="default" w:ascii="Times New Roman" w:hAnsi="Times New Roman" w:eastAsia="方正仿宋_GBK" w:cs="Times New Roman"/>
          <w:color w:val="000000"/>
          <w:kern w:val="0"/>
          <w:sz w:val="32"/>
          <w:szCs w:val="32"/>
          <w:lang w:val="en-US" w:eastAsia="zh-CN" w:bidi="ar"/>
        </w:rPr>
        <w:t>该片区内适龄幼儿的就学问题，保障该片区幼儿均能就近接受高质量的学前教育，高质量普及学前三年教育，促进幼儿教育长足稳定发展。</w:t>
      </w:r>
    </w:p>
    <w:p w14:paraId="1C6F6FF5">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sz w:val="32"/>
          <w:szCs w:val="32"/>
          <w:lang w:val="en-US" w:eastAsia="zh-CN"/>
        </w:rPr>
        <w:t>主要内容：</w:t>
      </w:r>
      <w:r>
        <w:rPr>
          <w:rFonts w:hint="default" w:ascii="Times New Roman" w:hAnsi="Times New Roman" w:eastAsia="方正仿宋_GBK" w:cs="Times New Roman"/>
          <w:color w:val="000000"/>
          <w:kern w:val="0"/>
          <w:sz w:val="32"/>
          <w:szCs w:val="32"/>
          <w:lang w:val="en-US" w:eastAsia="zh-CN" w:bidi="ar"/>
        </w:rPr>
        <w:t>该项目位于桥林街道，西至青果路，其余三侧临林山雅苑三期安置房。拟建设4轨 12班幼儿园、地下停车设施及配套辅助工程等设施。总建筑面积约7128.94平方米，其中地上建筑面积约 4627.89 平方米。</w:t>
      </w:r>
    </w:p>
    <w:p w14:paraId="040B1647">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sz w:val="32"/>
          <w:szCs w:val="32"/>
          <w:lang w:val="en-US" w:eastAsia="zh-CN"/>
        </w:rPr>
        <w:t xml:space="preserve"> 实施方式：</w:t>
      </w:r>
      <w:r>
        <w:rPr>
          <w:rFonts w:hint="default" w:ascii="Times New Roman" w:hAnsi="Times New Roman" w:eastAsia="方正仿宋_GBK" w:cs="Times New Roman"/>
          <w:color w:val="000000"/>
          <w:kern w:val="0"/>
          <w:sz w:val="32"/>
          <w:szCs w:val="32"/>
          <w:lang w:val="en-US" w:eastAsia="zh-CN" w:bidi="ar"/>
        </w:rPr>
        <w:t>本项目的各项具体工作由集中建设单位南京市浦口区保障房建设发展有限公司具体负责实施。在项目建设过程中，实施招投标制度、监理制度、工程合同管理制度等，由桥林街道办事处负责项目资金的筹措及支付工作。</w:t>
      </w:r>
    </w:p>
    <w:p w14:paraId="10FB899B">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资金投入和使用情况：本项目计划总投资为6700万元，初步设计批复项目总投资6,698.74万元，其中使用专项债资金3000万元，2024年度已发行专项债券1800万元，</w:t>
      </w:r>
      <w:r>
        <w:rPr>
          <w:rFonts w:hint="eastAsia" w:ascii="Times New Roman" w:hAnsi="Times New Roman" w:eastAsia="方正仿宋_GBK" w:cs="Times New Roman"/>
          <w:color w:val="000000"/>
          <w:kern w:val="0"/>
          <w:sz w:val="32"/>
          <w:szCs w:val="32"/>
          <w:lang w:val="en-US" w:eastAsia="zh-CN" w:bidi="ar"/>
        </w:rPr>
        <w:t>已完成支付，2025年已发行1200万元，已完成支付，</w:t>
      </w:r>
      <w:r>
        <w:rPr>
          <w:rFonts w:hint="default" w:ascii="Times New Roman" w:hAnsi="Times New Roman" w:eastAsia="方正仿宋_GBK" w:cs="Times New Roman"/>
          <w:color w:val="000000"/>
          <w:kern w:val="0"/>
          <w:sz w:val="32"/>
          <w:szCs w:val="32"/>
          <w:lang w:val="en-US" w:eastAsia="zh-CN" w:bidi="ar"/>
        </w:rPr>
        <w:t>剩余资金由街道自筹解决。</w:t>
      </w:r>
    </w:p>
    <w:p w14:paraId="771BB7E7">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eastAsia" w:ascii="方正楷体_GBK" w:hAnsi="方正楷体_GBK" w:eastAsia="方正楷体_GBK" w:cs="方正楷体_GBK"/>
          <w:sz w:val="32"/>
          <w:szCs w:val="32"/>
          <w:lang w:eastAsia="zh-CN"/>
        </w:rPr>
        <w:t>（二）绩效目标</w:t>
      </w:r>
    </w:p>
    <w:p w14:paraId="7BACADE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完成幼儿园年度建设计划</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提高浦口区整体教育水平，促进浦口区教育事业协调发展。</w:t>
      </w:r>
    </w:p>
    <w:p w14:paraId="6DFF6E0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二、评价情况</w:t>
      </w:r>
    </w:p>
    <w:p w14:paraId="61BA6DC6">
      <w:pPr>
        <w:keepNext w:val="0"/>
        <w:keepLines w:val="0"/>
        <w:pageBreakBefore w:val="0"/>
        <w:kinsoku/>
        <w:wordWrap/>
        <w:overflowPunct/>
        <w:topLinePunct w:val="0"/>
        <w:autoSpaceDE/>
        <w:autoSpaceDN/>
        <w:bidi w:val="0"/>
        <w:adjustRightInd/>
        <w:snapToGrid/>
        <w:spacing w:line="560" w:lineRule="exact"/>
        <w:ind w:firstLine="624" w:firstLineChars="200"/>
        <w:jc w:val="both"/>
        <w:textAlignment w:val="auto"/>
        <w:rPr>
          <w:rFonts w:hint="default" w:ascii="Times New Roman" w:hAnsi="Times New Roman" w:eastAsia="方正仿宋_GBK" w:cs="Times New Roman"/>
          <w:spacing w:val="-4"/>
          <w:sz w:val="32"/>
          <w:szCs w:val="32"/>
          <w:lang w:eastAsia="zh-CN"/>
        </w:rPr>
      </w:pPr>
      <w:r>
        <w:rPr>
          <w:rFonts w:hint="eastAsia" w:ascii="方正楷体_GBK" w:hAnsi="方正楷体_GBK" w:eastAsia="方正楷体_GBK" w:cs="方正楷体_GBK"/>
          <w:spacing w:val="-4"/>
          <w:sz w:val="32"/>
          <w:szCs w:val="32"/>
          <w:lang w:eastAsia="zh-CN"/>
        </w:rPr>
        <w:t>（一）项目特点分析。</w:t>
      </w:r>
    </w:p>
    <w:p w14:paraId="6DACE76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pacing w:val="-4"/>
          <w:sz w:val="32"/>
          <w:szCs w:val="32"/>
          <w:shd w:val="clear" w:color="auto" w:fill="auto"/>
          <w:lang w:val="en-US" w:eastAsia="zh-CN"/>
        </w:rPr>
      </w:pPr>
      <w:r>
        <w:rPr>
          <w:rFonts w:hint="default" w:ascii="Times New Roman" w:hAnsi="Times New Roman" w:eastAsia="方正仿宋_GBK" w:cs="Times New Roman"/>
          <w:sz w:val="32"/>
          <w:szCs w:val="32"/>
          <w:lang w:val="en-US" w:eastAsia="zh-CN"/>
        </w:rPr>
        <w:t>该项目的实施，进一步完善我街道幼儿园教育资源，改善学校的办学条件，提高学校的办学层次。本项目的建设是回应人民群众期待，满足人民群众需求，实现人民群众满意，直接面向群众，直接服务群众，是一项便民、利民、惠民的举措；是有利于促进社会经济的持续发展的重要保证，也有利于促进社会经济和谐发展。在建设过程中实施严格的动态管理，整个项目建设的目标做到细化、量化、清晰、合理。项目目前还处于建设过程中，债券资金还在使用过程中。故本年绩效评价重点在“建设”和 “资金使用”指标评价上，主要从资金的使用、项目的建设、资金使用及时性、经济、社会效益等方面评价。</w:t>
      </w:r>
      <w:r>
        <w:rPr>
          <w:rFonts w:hint="eastAsia"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pacing w:val="-4"/>
          <w:sz w:val="32"/>
          <w:szCs w:val="32"/>
          <w:lang w:val="en-US" w:eastAsia="zh-CN"/>
        </w:rPr>
        <w:t xml:space="preserve">    </w:t>
      </w:r>
      <w:r>
        <w:rPr>
          <w:rFonts w:hint="eastAsia" w:ascii="Times New Roman" w:hAnsi="Times New Roman" w:eastAsia="方正仿宋_GBK" w:cs="Times New Roman"/>
          <w:spacing w:val="-4"/>
          <w:sz w:val="32"/>
          <w:szCs w:val="32"/>
          <w:shd w:val="clear" w:color="auto" w:fill="auto"/>
          <w:lang w:val="en-US" w:eastAsia="zh-CN"/>
        </w:rPr>
        <w:t xml:space="preserve">    </w:t>
      </w:r>
    </w:p>
    <w:p w14:paraId="283DA4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jc w:val="both"/>
        <w:textAlignment w:val="auto"/>
        <w:rPr>
          <w:rFonts w:hint="default" w:ascii="Times New Roman" w:hAnsi="Times New Roman" w:eastAsia="方正仿宋_GBK" w:cs="Times New Roman"/>
          <w:sz w:val="32"/>
          <w:szCs w:val="32"/>
          <w:lang w:eastAsia="zh-CN"/>
        </w:rPr>
      </w:pPr>
      <w:r>
        <w:rPr>
          <w:rFonts w:hint="eastAsia" w:ascii="方正楷体_GBK" w:hAnsi="方正楷体_GBK" w:eastAsia="方正楷体_GBK" w:cs="方正楷体_GBK"/>
          <w:spacing w:val="-4"/>
          <w:sz w:val="32"/>
          <w:szCs w:val="32"/>
          <w:lang w:eastAsia="zh-CN"/>
        </w:rPr>
        <w:t>（</w:t>
      </w:r>
      <w:r>
        <w:rPr>
          <w:rFonts w:hint="eastAsia" w:ascii="方正楷体_GBK" w:hAnsi="方正楷体_GBK" w:eastAsia="方正楷体_GBK" w:cs="方正楷体_GBK"/>
          <w:spacing w:val="-4"/>
          <w:sz w:val="32"/>
          <w:szCs w:val="32"/>
          <w:lang w:val="en-US" w:eastAsia="zh-CN"/>
        </w:rPr>
        <w:t>二</w:t>
      </w:r>
      <w:r>
        <w:rPr>
          <w:rFonts w:hint="eastAsia" w:ascii="方正楷体_GBK" w:hAnsi="方正楷体_GBK" w:eastAsia="方正楷体_GBK" w:cs="方正楷体_GBK"/>
          <w:spacing w:val="-4"/>
          <w:sz w:val="32"/>
          <w:szCs w:val="32"/>
          <w:lang w:eastAsia="zh-CN"/>
        </w:rPr>
        <w:t>）评价思路方法</w:t>
      </w:r>
    </w:p>
    <w:p w14:paraId="764AD64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项目资金管理评价主要依据《地方政府专项债券项目资金绩效管理办法》对专项债券资金进行管理要求设置细化指标，并通过项目实施的具体进度及施工过程中的安全质量事故发生率进行全方位考核，本次绩效评价依照“决策-过程-产出-效益”的逻辑路径，从财政支出专项资金角度对项目绩效进行综合评价，综合分析项目主管单位在项目执行过程中的管理模式、项目成果、社会服务满意度。</w:t>
      </w:r>
    </w:p>
    <w:p w14:paraId="4E7DDC9D">
      <w:pPr>
        <w:keepNext w:val="0"/>
        <w:keepLines w:val="0"/>
        <w:pageBreakBefore w:val="0"/>
        <w:numPr>
          <w:ilvl w:val="0"/>
          <w:numId w:val="0"/>
        </w:numPr>
        <w:kinsoku/>
        <w:wordWrap/>
        <w:overflowPunct/>
        <w:topLinePunct w:val="0"/>
        <w:autoSpaceDE/>
        <w:autoSpaceDN/>
        <w:bidi w:val="0"/>
        <w:adjustRightInd/>
        <w:snapToGrid/>
        <w:spacing w:line="560" w:lineRule="exact"/>
        <w:ind w:firstLine="624" w:firstLineChars="200"/>
        <w:jc w:val="both"/>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pacing w:val="-4"/>
          <w:sz w:val="32"/>
          <w:szCs w:val="32"/>
          <w:lang w:eastAsia="zh-CN"/>
        </w:rPr>
        <w:t>（三）评价工作情况</w:t>
      </w:r>
    </w:p>
    <w:p w14:paraId="45757C0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kern w:val="0"/>
          <w:sz w:val="32"/>
          <w:szCs w:val="32"/>
          <w:lang w:val="en-US" w:eastAsia="zh-CN" w:bidi="ar"/>
        </w:rPr>
      </w:pPr>
      <w:r>
        <w:rPr>
          <w:rFonts w:hint="default" w:ascii="Times New Roman" w:hAnsi="Times New Roman" w:eastAsia="方正仿宋_GBK" w:cs="Times New Roman"/>
          <w:color w:val="auto"/>
          <w:kern w:val="0"/>
          <w:sz w:val="32"/>
          <w:szCs w:val="32"/>
          <w:lang w:val="en-US" w:eastAsia="zh-CN" w:bidi="ar"/>
        </w:rPr>
        <w:t>专项债券的使用确保项目建设顺利进行，项目于2024年1月正式开工，</w:t>
      </w:r>
      <w:r>
        <w:rPr>
          <w:rFonts w:hint="eastAsia" w:ascii="Times New Roman" w:hAnsi="Times New Roman" w:eastAsia="方正仿宋_GBK" w:cs="Times New Roman"/>
          <w:color w:val="auto"/>
          <w:kern w:val="0"/>
          <w:sz w:val="32"/>
          <w:szCs w:val="32"/>
          <w:lang w:val="en-US" w:eastAsia="zh-CN" w:bidi="ar"/>
        </w:rPr>
        <w:t>已</w:t>
      </w:r>
      <w:r>
        <w:rPr>
          <w:rFonts w:hint="default" w:ascii="Times New Roman" w:hAnsi="Times New Roman" w:eastAsia="方正仿宋_GBK" w:cs="Times New Roman"/>
          <w:color w:val="auto"/>
          <w:kern w:val="0"/>
          <w:sz w:val="32"/>
          <w:szCs w:val="32"/>
          <w:lang w:val="en-US" w:eastAsia="zh-CN" w:bidi="ar"/>
        </w:rPr>
        <w:t>于202</w:t>
      </w:r>
      <w:r>
        <w:rPr>
          <w:rFonts w:hint="eastAsia" w:ascii="Times New Roman" w:hAnsi="Times New Roman" w:eastAsia="方正仿宋_GBK" w:cs="Times New Roman"/>
          <w:color w:val="auto"/>
          <w:kern w:val="0"/>
          <w:sz w:val="32"/>
          <w:szCs w:val="32"/>
          <w:lang w:val="en-US" w:eastAsia="zh-CN" w:bidi="ar"/>
        </w:rPr>
        <w:t>6</w:t>
      </w:r>
      <w:r>
        <w:rPr>
          <w:rFonts w:hint="default" w:ascii="Times New Roman" w:hAnsi="Times New Roman" w:eastAsia="方正仿宋_GBK" w:cs="Times New Roman"/>
          <w:color w:val="auto"/>
          <w:kern w:val="0"/>
          <w:sz w:val="32"/>
          <w:szCs w:val="32"/>
          <w:lang w:val="en-US" w:eastAsia="zh-CN" w:bidi="ar"/>
        </w:rPr>
        <w:t>年</w:t>
      </w:r>
      <w:r>
        <w:rPr>
          <w:rFonts w:hint="eastAsia" w:ascii="Times New Roman" w:hAnsi="Times New Roman" w:eastAsia="方正仿宋_GBK" w:cs="Times New Roman"/>
          <w:color w:val="auto"/>
          <w:kern w:val="0"/>
          <w:sz w:val="32"/>
          <w:szCs w:val="32"/>
          <w:lang w:val="en-US" w:eastAsia="zh-CN" w:bidi="ar"/>
        </w:rPr>
        <w:t>2月份取得竣工联合验收意见书，完成竣工备案工作，</w:t>
      </w:r>
      <w:r>
        <w:rPr>
          <w:rFonts w:hint="default" w:ascii="Times New Roman" w:hAnsi="Times New Roman" w:eastAsia="方正仿宋_GBK" w:cs="Times New Roman"/>
          <w:color w:val="auto"/>
          <w:kern w:val="0"/>
          <w:sz w:val="32"/>
          <w:szCs w:val="32"/>
          <w:lang w:val="en-US" w:eastAsia="zh-CN" w:bidi="ar"/>
        </w:rPr>
        <w:t>2024</w:t>
      </w:r>
      <w:r>
        <w:rPr>
          <w:rFonts w:hint="eastAsia" w:ascii="Times New Roman" w:hAnsi="Times New Roman" w:eastAsia="方正仿宋_GBK" w:cs="Times New Roman"/>
          <w:color w:val="auto"/>
          <w:kern w:val="0"/>
          <w:sz w:val="32"/>
          <w:szCs w:val="32"/>
          <w:lang w:val="en-US" w:eastAsia="zh-CN" w:bidi="ar"/>
        </w:rPr>
        <w:t>、2025年合计发行的3000万元专项债</w:t>
      </w:r>
      <w:r>
        <w:rPr>
          <w:rFonts w:hint="default" w:ascii="Times New Roman" w:hAnsi="Times New Roman" w:eastAsia="方正仿宋_GBK" w:cs="Times New Roman"/>
          <w:color w:val="auto"/>
          <w:kern w:val="0"/>
          <w:sz w:val="32"/>
          <w:szCs w:val="32"/>
          <w:lang w:val="en-US" w:eastAsia="zh-CN" w:bidi="ar"/>
        </w:rPr>
        <w:t>已使用</w:t>
      </w:r>
      <w:r>
        <w:rPr>
          <w:rFonts w:hint="eastAsia" w:ascii="Times New Roman" w:hAnsi="Times New Roman" w:eastAsia="方正仿宋_GBK" w:cs="Times New Roman"/>
          <w:color w:val="auto"/>
          <w:kern w:val="0"/>
          <w:sz w:val="32"/>
          <w:szCs w:val="32"/>
          <w:lang w:val="en-US" w:eastAsia="zh-CN" w:bidi="ar"/>
        </w:rPr>
        <w:t>完毕</w:t>
      </w:r>
      <w:r>
        <w:rPr>
          <w:rFonts w:hint="default" w:ascii="Times New Roman" w:hAnsi="Times New Roman" w:eastAsia="方正仿宋_GBK" w:cs="Times New Roman"/>
          <w:color w:val="auto"/>
          <w:kern w:val="0"/>
          <w:sz w:val="32"/>
          <w:szCs w:val="32"/>
          <w:lang w:val="en-US" w:eastAsia="zh-CN" w:bidi="ar"/>
        </w:rPr>
        <w:t>。</w:t>
      </w:r>
    </w:p>
    <w:p w14:paraId="40FEDAB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（四）绩效评价结论</w:t>
      </w:r>
    </w:p>
    <w:p w14:paraId="5723B9F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val="en-US" w:eastAsia="zh-CN" w:bidi="ar"/>
        </w:rPr>
        <w:t>根据江苏省预算项目支出绩效指标体系，对南京市浦口区桥林街道林山雅苑三期配套幼儿园项目专项债券资金从过程、产出、效益、满意度四个维度进行自评价，重点评价产出、效益，满意度，自评价得分9</w:t>
      </w:r>
      <w:r>
        <w:rPr>
          <w:rFonts w:hint="eastAsia" w:ascii="Times New Roman" w:hAnsi="Times New Roman" w:eastAsia="方正仿宋_GBK" w:cs="Times New Roman"/>
          <w:color w:val="000000"/>
          <w:kern w:val="0"/>
          <w:sz w:val="32"/>
          <w:szCs w:val="32"/>
          <w:lang w:val="en-US" w:eastAsia="zh-CN" w:bidi="ar"/>
        </w:rPr>
        <w:t>8</w:t>
      </w:r>
      <w:r>
        <w:rPr>
          <w:rFonts w:hint="default" w:ascii="Times New Roman" w:hAnsi="Times New Roman" w:eastAsia="方正仿宋_GBK" w:cs="Times New Roman"/>
          <w:color w:val="000000"/>
          <w:kern w:val="0"/>
          <w:sz w:val="32"/>
          <w:szCs w:val="32"/>
          <w:lang w:val="en-US" w:eastAsia="zh-CN" w:bidi="ar"/>
        </w:rPr>
        <w:t>分，绩效等级为“优”。</w:t>
      </w:r>
    </w:p>
    <w:p w14:paraId="6BC0808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黑体_GBK" w:hAnsi="方正黑体_GBK" w:eastAsia="方正黑体_GBK" w:cs="方正黑体_GBK"/>
          <w:spacing w:val="-15"/>
          <w:sz w:val="32"/>
          <w:szCs w:val="32"/>
          <w:lang w:eastAsia="zh-CN"/>
        </w:rPr>
      </w:pPr>
      <w:r>
        <w:rPr>
          <w:rFonts w:hint="eastAsia" w:ascii="方正黑体_GBK" w:hAnsi="方正黑体_GBK" w:eastAsia="方正黑体_GBK" w:cs="方正黑体_GBK"/>
          <w:sz w:val="32"/>
          <w:szCs w:val="32"/>
          <w:lang w:val="en-US" w:eastAsia="zh-CN"/>
        </w:rPr>
        <w:t>三、</w:t>
      </w:r>
      <w:r>
        <w:rPr>
          <w:rFonts w:hint="eastAsia" w:ascii="方正黑体_GBK" w:hAnsi="方正黑体_GBK" w:eastAsia="方正黑体_GBK" w:cs="方正黑体_GBK"/>
          <w:sz w:val="32"/>
          <w:szCs w:val="32"/>
          <w:lang w:eastAsia="zh-CN"/>
        </w:rPr>
        <w:t>项目绩效</w:t>
      </w:r>
    </w:p>
    <w:p w14:paraId="584C5B8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近年来，江苏省大力实施科教兴省战略，坚持把教育放在优先发展的地位，努力创建学习型社会。这其中，学前教育如同金字塔的塔基，承载着基础的重要作用。加强基础教育，是建设“教育强省”和“人才强省”战略的首要步骤和重要前提。 </w:t>
      </w:r>
    </w:p>
    <w:p w14:paraId="5B8C306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当前和今后一个时期，是我省加快发展创新型经济、全面建设更高水平小康社会、基本实现现代化的关键阶段，也是深化教育改革、加快教育发展、建设教育强省、实现教育现代化的重要时期。随着工业化、 城市化、信息化、国际化进程加快推进，依靠教育提高国民素质和社会 文明程度，依靠教育提供人才支持和智力保障，依靠教育推动自主创新和管理创新，依靠教育促进经济转型升级和发展方式转变，依靠教育提升综合实力和国际竞争力，比以往任何时候都更加重要、更为紧迫</w:t>
      </w:r>
      <w:r>
        <w:rPr>
          <w:rFonts w:hint="eastAsia" w:ascii="Times New Roman" w:hAnsi="Times New Roman" w:eastAsia="方正仿宋_GBK" w:cs="Times New Roman"/>
          <w:color w:val="000000"/>
          <w:kern w:val="0"/>
          <w:sz w:val="32"/>
          <w:szCs w:val="32"/>
          <w:lang w:val="en-US" w:eastAsia="zh-CN" w:bidi="ar"/>
        </w:rPr>
        <w:t>。</w:t>
      </w:r>
      <w:r>
        <w:rPr>
          <w:rFonts w:hint="default" w:ascii="Times New Roman" w:hAnsi="Times New Roman" w:eastAsia="方正仿宋_GBK" w:cs="Times New Roman"/>
          <w:color w:val="000000"/>
          <w:kern w:val="0"/>
          <w:sz w:val="32"/>
          <w:szCs w:val="32"/>
          <w:lang w:val="en-US" w:eastAsia="zh-CN" w:bidi="ar"/>
        </w:rPr>
        <w:t xml:space="preserve">全省上下必须坚定不移地把教育优先发展摆上突出战略位置，不断深化教育改革，推动教育事业在新的历史起点上科学发展，着力建设更高水平的国民教育、惠及全民的公平教育、体系完备的终身教育、资源共享的优质教育，努力办好人民满意的教育，加快建设教育强省、实现教育现代化，教育发展主要指标达到国际先进水平，切实增创人才和智力支撑新优势，为推动科学发展、建设美好江苏作出新的更大贡献。 </w:t>
      </w:r>
      <w:r>
        <w:rPr>
          <w:rFonts w:hint="default" w:ascii="Times New Roman" w:hAnsi="Times New Roman" w:eastAsia="方正仿宋_GBK" w:cs="Times New Roman"/>
          <w:b/>
          <w:bCs/>
          <w:color w:val="000000"/>
          <w:kern w:val="0"/>
          <w:sz w:val="32"/>
          <w:szCs w:val="32"/>
          <w:lang w:val="en-US" w:eastAsia="zh-CN" w:bidi="ar"/>
        </w:rPr>
        <w:t xml:space="preserve"> </w:t>
      </w:r>
    </w:p>
    <w:p w14:paraId="7047AAF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南京是“六朝古都”、“十朝都会”，目前是江苏省省会，长江下游重要的中心城市，也是人才荟萃之地。长期以来，江苏和南京的经济和社会事业能够长期快速发展，很大一部分得益于其文化教育的发达，正是较高的人口文化素质为江苏和南京的经济建设和社会发展奠定了坚实的基础。 城市的快速发展对提升教育服务经济社会发展能力形成新的挑战。随着经济发展以及城市建设规模扩张，南京城市预期人口数量将急剧增加，人口流动速度也将加快，需要通过更为科学地预测、合理配置教育资源、优化教育布局来满足群众“学有优教”的教育需求。城市产业的转型和升级，必须加快推进教育体制机制创新，深化人才培养模式和办学体制等方面的改革，大力培养经济社会发展急需的高素质劳动者和创新型人才，努力在知识创新、科学研究、社会服务方面作出更大贡献。 </w:t>
      </w:r>
    </w:p>
    <w:p w14:paraId="146DC6A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林山雅苑三期配套幼儿园项目将进一步推进南京市学前教育设施的建设，使南京市教育进一步优质均衡发展。因此本项目建设具有非常重要的意义。 </w:t>
      </w:r>
    </w:p>
    <w:p w14:paraId="6076FF8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近年来随着桥林街道开发建设的步伐不断加快，居民数量日益增多，儿童入园难的问题也日益突出，这与桥林街道经济社会事业快速发展的现状极不相适应，与浦口区的整体教育也极不协调。本项目的建设可以改善幼儿园整体规模不足的现状，保障儿童均能就近接受高质量的学前教育，亦减轻了家长的负担。 </w:t>
      </w:r>
    </w:p>
    <w:p w14:paraId="09BBAFB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近年来，浦口区的教育一直保持着持续、健康、快速发展的良好势头。百年大计，教育为本，学前教育是基础教育的重要组成部分，是关系国民素质提高和民族未来兴盛的大事。发展学前教育，对促进儿童身心全面健康发展，全面普及基础教育，构建终身教育体系，全面建</w:t>
      </w:r>
      <w:r>
        <w:rPr>
          <w:rFonts w:hint="eastAsia" w:ascii="Times New Roman" w:hAnsi="Times New Roman" w:eastAsia="方正仿宋_GBK" w:cs="Times New Roman"/>
          <w:color w:val="000000"/>
          <w:kern w:val="0"/>
          <w:sz w:val="32"/>
          <w:szCs w:val="32"/>
          <w:lang w:val="en-US" w:eastAsia="zh-CN" w:bidi="ar"/>
        </w:rPr>
        <w:t>成</w:t>
      </w:r>
      <w:bookmarkStart w:id="0" w:name="_GoBack"/>
      <w:bookmarkEnd w:id="0"/>
      <w:r>
        <w:rPr>
          <w:rFonts w:hint="default" w:ascii="Times New Roman" w:hAnsi="Times New Roman" w:eastAsia="方正仿宋_GBK" w:cs="Times New Roman"/>
          <w:color w:val="000000"/>
          <w:kern w:val="0"/>
          <w:sz w:val="32"/>
          <w:szCs w:val="32"/>
          <w:lang w:val="en-US" w:eastAsia="zh-CN" w:bidi="ar"/>
        </w:rPr>
        <w:t xml:space="preserve">小康社会具有重要意义。发展学前教育、提高学前教育质量，推进教育现代化建设，已经成为服务型政府改善民生的重要举措和紧迫任务。 </w:t>
      </w:r>
    </w:p>
    <w:p w14:paraId="03E9C05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kern w:val="0"/>
          <w:sz w:val="32"/>
          <w:szCs w:val="32"/>
          <w:lang w:val="en-US" w:eastAsia="zh-CN" w:bidi="ar"/>
        </w:rPr>
        <w:t xml:space="preserve">“百年大计，育人为本”，“博学于文，品雅志高”。一个国家，一个民族，一个小区，一个家庭，一个人综合素质的提高，将从文化教育开始，这个教育的启蒙最早源于家庭，学龄后将交付于学校的教育，所以拥有一所师资和设备一流的公办学校对成长中的青少年会起到至关重要的决定性作用。这也就是在城市新区的配套建设上，建设高水平公办幼儿园的重要意义。这是全面提升全市教育质量的重要举措，是“民生工程”，也是“民意工程”，是实现教育均衡化、保障人人享有义务教育平等权利的重要举措。 </w:t>
      </w:r>
    </w:p>
    <w:p w14:paraId="132D83D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pacing w:val="-15"/>
          <w:sz w:val="32"/>
          <w:szCs w:val="32"/>
          <w:lang w:eastAsia="zh-CN"/>
        </w:rPr>
      </w:pPr>
      <w:r>
        <w:rPr>
          <w:rFonts w:hint="default" w:ascii="Times New Roman" w:hAnsi="Times New Roman" w:eastAsia="方正仿宋_GBK" w:cs="Times New Roman"/>
          <w:color w:val="000000"/>
          <w:kern w:val="0"/>
          <w:sz w:val="32"/>
          <w:szCs w:val="32"/>
          <w:lang w:val="en-US" w:eastAsia="zh-CN" w:bidi="ar"/>
        </w:rPr>
        <w:t>本项目根据城区发展规划和现有幼儿园布局实际，合理配置城区教育资源，改善城区幼儿园办园条件，因地制宜地对城区幼儿园进行布局和扩容提质。切实解决城区学前阶段幼儿入园难的问题，充分保障人民群众享受优质教育资源的权利，促进全市教育和谐健康发展。</w:t>
      </w:r>
    </w:p>
    <w:p w14:paraId="19B91B7F">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四、存在问题。</w:t>
      </w:r>
    </w:p>
    <w:p w14:paraId="1DB0CAFA">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color w:val="auto"/>
          <w:kern w:val="0"/>
          <w:sz w:val="32"/>
          <w:szCs w:val="32"/>
          <w:lang w:val="en-US" w:eastAsia="zh-CN" w:bidi="ar"/>
        </w:rPr>
      </w:pPr>
      <w:r>
        <w:rPr>
          <w:rFonts w:hint="eastAsia" w:ascii="Times New Roman" w:hAnsi="Times New Roman" w:eastAsia="方正仿宋_GBK" w:cs="Times New Roman"/>
          <w:color w:val="auto"/>
          <w:kern w:val="0"/>
          <w:sz w:val="32"/>
          <w:szCs w:val="32"/>
          <w:lang w:val="en-US" w:eastAsia="zh-CN" w:bidi="ar"/>
        </w:rPr>
        <w:t>目前幼儿园不动产权证正在办理中，流程时间跨度过长。</w:t>
      </w:r>
    </w:p>
    <w:p w14:paraId="1DA334E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lang w:eastAsia="zh-CN"/>
        </w:rPr>
        <w:t>有关建议。</w:t>
      </w:r>
    </w:p>
    <w:p w14:paraId="02BAC43A">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color w:val="auto"/>
          <w:sz w:val="32"/>
          <w:szCs w:val="32"/>
          <w:lang w:val="en-US" w:eastAsia="zh-CN"/>
        </w:rPr>
        <w:t>加快办理不动产权证及项目整体移交工作</w:t>
      </w:r>
      <w:r>
        <w:rPr>
          <w:rFonts w:hint="eastAsia" w:ascii="Times New Roman" w:hAnsi="Times New Roman" w:eastAsia="方正仿宋_GBK" w:cs="Times New Roman"/>
          <w:color w:val="FF0000"/>
          <w:sz w:val="32"/>
          <w:szCs w:val="32"/>
          <w:lang w:val="en-US" w:eastAsia="zh-CN"/>
        </w:rPr>
        <w:t>。</w:t>
      </w:r>
      <w:r>
        <w:rPr>
          <w:rFonts w:hint="default" w:ascii="Times New Roman" w:hAnsi="Times New Roman" w:eastAsia="方正仿宋_GBK" w:cs="Times New Roman"/>
          <w:sz w:val="32"/>
          <w:szCs w:val="32"/>
          <w:lang w:val="en-US" w:eastAsia="zh-CN"/>
        </w:rPr>
        <w:t xml:space="preserve"> </w:t>
      </w:r>
    </w:p>
    <w:p w14:paraId="0A131A71">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六、相关信息</w:t>
      </w:r>
    </w:p>
    <w:p w14:paraId="1E4B43D0">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附表：资金绩效年度自评价</w:t>
      </w:r>
      <w:r>
        <w:rPr>
          <w:rFonts w:hint="eastAsia" w:ascii="Times New Roman" w:hAnsi="Times New Roman" w:eastAsia="方正仿宋_GBK" w:cs="Times New Roman"/>
          <w:sz w:val="32"/>
          <w:szCs w:val="32"/>
          <w:lang w:val="en-US" w:eastAsia="zh-CN"/>
        </w:rPr>
        <w:t>情况表。</w:t>
      </w:r>
    </w:p>
    <w:p w14:paraId="3BD7FEB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lang w:eastAsia="zh-CN"/>
        </w:rPr>
      </w:pPr>
    </w:p>
    <w:sectPr>
      <w:type w:val="continuous"/>
      <w:pgSz w:w="11910" w:h="16840"/>
      <w:pgMar w:top="2098" w:right="1474" w:bottom="1984" w:left="1587"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3000509000000000000"/>
    <w:charset w:val="86"/>
    <w:family w:val="script"/>
    <w:pitch w:val="default"/>
    <w:sig w:usb0="00000001" w:usb1="080E0000" w:usb2="00000000" w:usb3="00000000" w:csb0="00040000" w:csb1="00000000"/>
    <w:embedRegular r:id="rId1" w:fontKey="{2DE72A6B-7A1A-4AAE-94BD-AD0890FF78DB}"/>
  </w:font>
  <w:font w:name="方正小标宋_GBK">
    <w:panose1 w:val="03000509000000000000"/>
    <w:charset w:val="86"/>
    <w:family w:val="script"/>
    <w:pitch w:val="default"/>
    <w:sig w:usb0="00000001" w:usb1="080E0000" w:usb2="00000000" w:usb3="00000000" w:csb0="00040000" w:csb1="00000000"/>
    <w:embedRegular r:id="rId2" w:fontKey="{F5AF336D-9AB9-406B-BF1C-91928A09AD91}"/>
  </w:font>
  <w:font w:name="方正仿宋_GBK">
    <w:panose1 w:val="03000509000000000000"/>
    <w:charset w:val="86"/>
    <w:family w:val="script"/>
    <w:pitch w:val="default"/>
    <w:sig w:usb0="00000001" w:usb1="080E0000" w:usb2="00000000" w:usb3="00000000" w:csb0="00040000" w:csb1="00000000"/>
    <w:embedRegular r:id="rId3" w:fontKey="{EEE283C6-E337-4B55-B36E-3E99D3AAFE75}"/>
  </w:font>
  <w:font w:name="方正楷体_GBK">
    <w:panose1 w:val="03000509000000000000"/>
    <w:charset w:val="86"/>
    <w:family w:val="auto"/>
    <w:pitch w:val="default"/>
    <w:sig w:usb0="00000001" w:usb1="080E0000" w:usb2="00000000" w:usb3="00000000" w:csb0="00040000" w:csb1="00000000"/>
    <w:embedRegular r:id="rId4" w:fontKey="{8F90128D-187C-41A6-BCAB-C2FF387AD67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286"/>
    <w:rsid w:val="0000186F"/>
    <w:rsid w:val="00027842"/>
    <w:rsid w:val="000F0010"/>
    <w:rsid w:val="001076FD"/>
    <w:rsid w:val="00112A3C"/>
    <w:rsid w:val="0012335B"/>
    <w:rsid w:val="001D43CE"/>
    <w:rsid w:val="001E1F08"/>
    <w:rsid w:val="001F5652"/>
    <w:rsid w:val="002034C4"/>
    <w:rsid w:val="00223670"/>
    <w:rsid w:val="002F39B9"/>
    <w:rsid w:val="00317F35"/>
    <w:rsid w:val="003D4D43"/>
    <w:rsid w:val="00412A90"/>
    <w:rsid w:val="00427AA3"/>
    <w:rsid w:val="00453872"/>
    <w:rsid w:val="00485FCA"/>
    <w:rsid w:val="00496584"/>
    <w:rsid w:val="004B1555"/>
    <w:rsid w:val="004E3E98"/>
    <w:rsid w:val="004F2889"/>
    <w:rsid w:val="00513E18"/>
    <w:rsid w:val="00541FD2"/>
    <w:rsid w:val="0055497B"/>
    <w:rsid w:val="0058181F"/>
    <w:rsid w:val="005C5968"/>
    <w:rsid w:val="005D094F"/>
    <w:rsid w:val="005D61F8"/>
    <w:rsid w:val="006032DC"/>
    <w:rsid w:val="006A0286"/>
    <w:rsid w:val="006F1257"/>
    <w:rsid w:val="006F2AB8"/>
    <w:rsid w:val="00705B52"/>
    <w:rsid w:val="0072674E"/>
    <w:rsid w:val="007416BA"/>
    <w:rsid w:val="0075652D"/>
    <w:rsid w:val="00784065"/>
    <w:rsid w:val="007A754E"/>
    <w:rsid w:val="00830C91"/>
    <w:rsid w:val="008C735A"/>
    <w:rsid w:val="008D7527"/>
    <w:rsid w:val="008F6FC9"/>
    <w:rsid w:val="00926E98"/>
    <w:rsid w:val="009302E0"/>
    <w:rsid w:val="0095504B"/>
    <w:rsid w:val="009B2D68"/>
    <w:rsid w:val="00A14DE2"/>
    <w:rsid w:val="00A72387"/>
    <w:rsid w:val="00A863A2"/>
    <w:rsid w:val="00AA24DC"/>
    <w:rsid w:val="00AC69E3"/>
    <w:rsid w:val="00B14C89"/>
    <w:rsid w:val="00B33955"/>
    <w:rsid w:val="00BD1F01"/>
    <w:rsid w:val="00CB64D3"/>
    <w:rsid w:val="00D20830"/>
    <w:rsid w:val="00D71C46"/>
    <w:rsid w:val="00D855DD"/>
    <w:rsid w:val="00D85F96"/>
    <w:rsid w:val="00DE067D"/>
    <w:rsid w:val="00DF053C"/>
    <w:rsid w:val="00E1011A"/>
    <w:rsid w:val="00E70A55"/>
    <w:rsid w:val="00EB03FD"/>
    <w:rsid w:val="00EB77F8"/>
    <w:rsid w:val="00ED06B2"/>
    <w:rsid w:val="00EF65E3"/>
    <w:rsid w:val="00F161C4"/>
    <w:rsid w:val="00F35A70"/>
    <w:rsid w:val="00F4202D"/>
    <w:rsid w:val="00FB5E7E"/>
    <w:rsid w:val="00FC405A"/>
    <w:rsid w:val="00FC7877"/>
    <w:rsid w:val="09694018"/>
    <w:rsid w:val="102E5C23"/>
    <w:rsid w:val="114F61E9"/>
    <w:rsid w:val="1DC86DCC"/>
    <w:rsid w:val="1F1E449C"/>
    <w:rsid w:val="22EE13BE"/>
    <w:rsid w:val="23B4085A"/>
    <w:rsid w:val="24222EE3"/>
    <w:rsid w:val="25137802"/>
    <w:rsid w:val="25724B06"/>
    <w:rsid w:val="2A436A15"/>
    <w:rsid w:val="331217FF"/>
    <w:rsid w:val="346A6D13"/>
    <w:rsid w:val="36B72122"/>
    <w:rsid w:val="37D908CA"/>
    <w:rsid w:val="383A1CAF"/>
    <w:rsid w:val="38F372D7"/>
    <w:rsid w:val="3C74072E"/>
    <w:rsid w:val="3D2F048D"/>
    <w:rsid w:val="3D3B2FFA"/>
    <w:rsid w:val="3F711193"/>
    <w:rsid w:val="42846978"/>
    <w:rsid w:val="46970647"/>
    <w:rsid w:val="4B375749"/>
    <w:rsid w:val="568504BE"/>
    <w:rsid w:val="5A755A36"/>
    <w:rsid w:val="5B020973"/>
    <w:rsid w:val="5BB44053"/>
    <w:rsid w:val="5C4E1BEB"/>
    <w:rsid w:val="5F2E6A0B"/>
    <w:rsid w:val="601C3774"/>
    <w:rsid w:val="60902279"/>
    <w:rsid w:val="63CC1360"/>
    <w:rsid w:val="68A20118"/>
    <w:rsid w:val="690C59FF"/>
    <w:rsid w:val="6B7C455F"/>
    <w:rsid w:val="72B40E50"/>
    <w:rsid w:val="7A6774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paragraph" w:styleId="2">
    <w:name w:val="heading 1"/>
    <w:basedOn w:val="1"/>
    <w:next w:val="1"/>
    <w:qFormat/>
    <w:uiPriority w:val="1"/>
    <w:pPr>
      <w:ind w:left="100"/>
      <w:outlineLvl w:val="0"/>
    </w:pPr>
    <w:rPr>
      <w:rFonts w:ascii="宋体" w:hAnsi="宋体" w:eastAsia="宋体"/>
      <w:sz w:val="36"/>
      <w:szCs w:val="36"/>
    </w:rPr>
  </w:style>
  <w:style w:type="paragraph" w:styleId="3">
    <w:name w:val="heading 2"/>
    <w:basedOn w:val="1"/>
    <w:next w:val="1"/>
    <w:qFormat/>
    <w:uiPriority w:val="1"/>
    <w:pPr>
      <w:ind w:left="-21" w:firstLine="2592"/>
      <w:outlineLvl w:val="1"/>
    </w:pPr>
    <w:rPr>
      <w:rFonts w:ascii="宋体" w:hAnsi="宋体" w:eastAsia="宋体"/>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spacing w:before="207"/>
      <w:ind w:left="120"/>
    </w:pPr>
    <w:rPr>
      <w:rFonts w:ascii="宋体" w:hAnsi="宋体" w:eastAsia="宋体"/>
      <w:sz w:val="30"/>
      <w:szCs w:val="30"/>
    </w:rPr>
  </w:style>
  <w:style w:type="paragraph" w:styleId="5">
    <w:name w:val="footer"/>
    <w:basedOn w:val="1"/>
    <w:link w:val="15"/>
    <w:unhideWhenUsed/>
    <w:qFormat/>
    <w:uiPriority w:val="99"/>
    <w:pPr>
      <w:tabs>
        <w:tab w:val="center" w:pos="4153"/>
        <w:tab w:val="right" w:pos="8306"/>
      </w:tabs>
      <w:snapToGrid w:val="0"/>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 w:type="paragraph" w:customStyle="1" w:styleId="13">
    <w:name w:val="Default"/>
    <w:qFormat/>
    <w:uiPriority w:val="0"/>
    <w:pPr>
      <w:widowControl w:val="0"/>
      <w:autoSpaceDE w:val="0"/>
      <w:autoSpaceDN w:val="0"/>
      <w:adjustRightInd w:val="0"/>
    </w:pPr>
    <w:rPr>
      <w:rFonts w:ascii="方正黑体_GBK" w:hAnsi="方正黑体_GBK" w:cs="方正黑体_GBK" w:eastAsiaTheme="minorEastAsia"/>
      <w:color w:val="000000"/>
      <w:sz w:val="24"/>
      <w:szCs w:val="24"/>
      <w:lang w:val="en-US" w:eastAsia="en-US" w:bidi="ar-SA"/>
    </w:rPr>
  </w:style>
  <w:style w:type="character" w:customStyle="1" w:styleId="14">
    <w:name w:val="页眉 字符"/>
    <w:basedOn w:val="9"/>
    <w:link w:val="6"/>
    <w:qFormat/>
    <w:uiPriority w:val="99"/>
    <w:rPr>
      <w:sz w:val="18"/>
      <w:szCs w:val="18"/>
    </w:rPr>
  </w:style>
  <w:style w:type="character" w:customStyle="1" w:styleId="15">
    <w:name w:val="页脚 字符"/>
    <w:basedOn w:val="9"/>
    <w:link w:val="5"/>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3248</Words>
  <Characters>3316</Characters>
  <Lines>2</Lines>
  <Paragraphs>1</Paragraphs>
  <TotalTime>101</TotalTime>
  <ScaleCrop>false</ScaleCrop>
  <LinksUpToDate>false</LinksUpToDate>
  <CharactersWithSpaces>3360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2021-08-19T09:37:00Z</dcterms:created>
  <dc:creator>张肖军(拟稿)</dc:creator>
  <cp:lastModifiedBy>禹晴</cp:lastModifiedBy>
  <cp:lastPrinted>2025-04-29T03:32:00Z</cp:lastPrinted>
  <dcterms:modified xsi:type="dcterms:W3CDTF">2026-06-25T09:01:51Z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2020-09-01T00:00:00Z</vt:filetime>
  </property>
  <property fmtid="{D5CDD505-2E9C-101B-9397-08002B2CF9AE}" pid="3" name="Creator">
    <vt:lpwstr>Adobe Acrobat Pro 11.0.7</vt:lpwstr>
  </property>
  <property fmtid="{D5CDD505-2E9C-101B-9397-08002B2CF9AE}" pid="4" name="LastSaved">
    <vt:filetime>2021-08-19T00:00:00Z</vt:filetime>
  </property>
  <property fmtid="{D5CDD505-2E9C-101B-9397-08002B2CF9AE}" pid="5" name="KSOProductBuildVer">
    <vt:lpwstr>2052-12.1.0.26895</vt:lpwstr>
  </property>
  <property fmtid="{D5CDD505-2E9C-101B-9397-08002B2CF9AE}" pid="6" name="ICV">
    <vt:lpwstr>AC749A4C438C48E393853F6A05D3F97D_13</vt:lpwstr>
  </property>
  <property fmtid="{D5CDD505-2E9C-101B-9397-08002B2CF9AE}" pid="7" name="KSOTemplateDocerSaveRecord">
    <vt:lpwstr>eyJoZGlkIjoiYjhmZjYwOWMyNzZkNDdkMWE5NjRkZmJhODIxYzU2ZTEiLCJ1c2VySWQiOiIyMzkwNjA4NzEifQ==</vt:lpwstr>
  </property>
</Properties>
</file>