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3BFEB">
      <w:pPr>
        <w:spacing w:line="560" w:lineRule="exact"/>
        <w:rPr>
          <w:sz w:val="32"/>
          <w:szCs w:val="32"/>
        </w:rPr>
      </w:pPr>
    </w:p>
    <w:p w14:paraId="003678C9">
      <w:pPr>
        <w:spacing w:line="560" w:lineRule="exact"/>
        <w:rPr>
          <w:sz w:val="32"/>
          <w:szCs w:val="32"/>
        </w:rPr>
      </w:pPr>
    </w:p>
    <w:p w14:paraId="44C46566">
      <w:pPr>
        <w:spacing w:line="560" w:lineRule="exact"/>
        <w:rPr>
          <w:sz w:val="32"/>
          <w:szCs w:val="32"/>
        </w:rPr>
      </w:pPr>
    </w:p>
    <w:p w14:paraId="3D72E49B">
      <w:pPr>
        <w:spacing w:line="560" w:lineRule="exact"/>
        <w:rPr>
          <w:sz w:val="32"/>
          <w:szCs w:val="32"/>
        </w:rPr>
      </w:pPr>
    </w:p>
    <w:p w14:paraId="7BB8DB68">
      <w:pPr>
        <w:spacing w:line="560" w:lineRule="exact"/>
        <w:rPr>
          <w:sz w:val="32"/>
          <w:szCs w:val="32"/>
        </w:rPr>
      </w:pPr>
    </w:p>
    <w:p w14:paraId="7DC62175">
      <w:pPr>
        <w:spacing w:line="560" w:lineRule="exact"/>
        <w:rPr>
          <w:sz w:val="32"/>
          <w:szCs w:val="32"/>
        </w:rPr>
      </w:pPr>
    </w:p>
    <w:p w14:paraId="34FE8F4C">
      <w:pPr>
        <w:spacing w:line="560" w:lineRule="exact"/>
        <w:rPr>
          <w:sz w:val="32"/>
          <w:szCs w:val="32"/>
        </w:rPr>
      </w:pPr>
    </w:p>
    <w:p w14:paraId="24CC31F3">
      <w:pPr>
        <w:spacing w:line="560" w:lineRule="exact"/>
        <w:ind w:left="210" w:leftChars="100" w:right="210" w:rightChars="100"/>
        <w:jc w:val="center"/>
        <w:rPr>
          <w:rFonts w:hint="default" w:ascii="Times New Roman" w:hAnsi="Times New Roman" w:eastAsia="楷体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margin">
                  <wp:posOffset>1264285</wp:posOffset>
                </wp:positionV>
                <wp:extent cx="5615940" cy="577850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94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83FDA2">
                            <w:pPr>
                              <w:jc w:val="distribute"/>
                              <w:rPr>
                                <w:rFonts w:ascii="方正小标宋_GBK" w:eastAsia="方正小标宋_GBK"/>
                                <w:b/>
                                <w:color w:val="FF0000"/>
                                <w:spacing w:val="-20"/>
                                <w:w w:val="66"/>
                                <w:kern w:val="0"/>
                                <w:sz w:val="72"/>
                                <w:szCs w:val="88"/>
                              </w:rPr>
                            </w:pPr>
                            <w:r>
                              <w:rPr>
                                <w:rFonts w:hint="eastAsia" w:ascii="方正小标宋_GBK" w:hAnsi="方正小标宋简体" w:eastAsia="方正小标宋_GBK" w:cs="方正小标宋简体"/>
                                <w:b/>
                                <w:color w:val="FF0000"/>
                                <w:spacing w:val="-20"/>
                                <w:w w:val="66"/>
                                <w:kern w:val="0"/>
                                <w:sz w:val="72"/>
                                <w:szCs w:val="88"/>
                              </w:rPr>
                              <w:t>南京江北新区管委会政务服务管理办公室文件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0.05pt;margin-top:99.55pt;height:45.5pt;width:442.2pt;mso-position-horizontal-relative:margin;mso-position-vertical-relative:margin;z-index:251659264;mso-width-relative:page;mso-height-relative:page;" filled="f" stroked="f" coordsize="21600,21600" o:gfxdata="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CimxjzXAAAACAEAAA8AAAAAAAAAAQAgAAAAIgAAAGRycy9kb3ducmV2LnhtbFBLAQIU&#10;ABQAAAAIAIdO4kCwmJ0FuwEAAHIDAAAOAAAAAAAAAAEAIAAAACYBAABkcnMvZTJvRG9jLnhtbFBL&#10;BQYAAAAABgAGAFkBAABT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A83FDA2">
                      <w:pPr>
                        <w:jc w:val="distribute"/>
                        <w:rPr>
                          <w:rFonts w:ascii="方正小标宋_GBK" w:eastAsia="方正小标宋_GBK"/>
                          <w:b/>
                          <w:color w:val="FF0000"/>
                          <w:spacing w:val="-20"/>
                          <w:w w:val="66"/>
                          <w:kern w:val="0"/>
                          <w:sz w:val="72"/>
                          <w:szCs w:val="88"/>
                        </w:rPr>
                      </w:pPr>
                      <w:r>
                        <w:rPr>
                          <w:rFonts w:hint="eastAsia" w:ascii="方正小标宋_GBK" w:hAnsi="方正小标宋简体" w:eastAsia="方正小标宋_GBK" w:cs="方正小标宋简体"/>
                          <w:b/>
                          <w:color w:val="FF0000"/>
                          <w:spacing w:val="-20"/>
                          <w:w w:val="66"/>
                          <w:kern w:val="0"/>
                          <w:sz w:val="72"/>
                          <w:szCs w:val="88"/>
                        </w:rPr>
                        <w:t>南京江北新区管委会政务服务管理办公室文件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ge">
                  <wp:posOffset>4321810</wp:posOffset>
                </wp:positionV>
                <wp:extent cx="5615940" cy="0"/>
                <wp:effectExtent l="0" t="12700" r="3810" b="15875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flip:y;margin-left:0.05pt;margin-top:340.3pt;height:0pt;width:442.2pt;mso-position-horizontal-relative:margin;mso-position-vertical-relative:page;z-index:251660288;mso-width-relative:page;mso-height-relative:page;" filled="f" stroked="t" coordsize="21600,21600" o:gfxdata="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5yxE&#10;UNMAAAAIAQAADwAAAAAAAAABACAAAAAiAAAAZHJzL2Rvd25yZXYueG1sUEsBAhQAFAAAAAgAh07i&#10;QJwbZPnuAQAA5AMAAA4AAAAAAAAAAQAgAAAAIgEAAGRycy9lMm9Eb2MueG1sUEsFBgAAAAAGAAYA&#10;WQEAAIIFAAAAAA==&#10;">
                <v:fill on="f" focussize="0,0"/>
                <v:stroke weight="2pt" color="#FF0000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" w:cs="Times New Roman"/>
          <w:sz w:val="32"/>
          <w:szCs w:val="32"/>
        </w:rPr>
        <w:t>宁新区管政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环表复〔2026〕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82</w:t>
      </w:r>
      <w:r>
        <w:rPr>
          <w:rFonts w:hint="default" w:ascii="Times New Roman" w:hAnsi="Times New Roman" w:eastAsia="仿宋" w:cs="Times New Roman"/>
          <w:sz w:val="32"/>
          <w:szCs w:val="32"/>
        </w:rPr>
        <w:t>号</w:t>
      </w:r>
    </w:p>
    <w:p w14:paraId="48A4FADD">
      <w:pPr>
        <w:spacing w:line="560" w:lineRule="exact"/>
        <w:rPr>
          <w:rFonts w:hint="default" w:ascii="Times New Roman" w:hAnsi="Times New Roman" w:cs="Times New Roman"/>
          <w:sz w:val="32"/>
          <w:szCs w:val="32"/>
        </w:rPr>
      </w:pPr>
    </w:p>
    <w:p w14:paraId="20086833">
      <w:pPr>
        <w:spacing w:line="560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关于</w:t>
      </w:r>
      <w:r>
        <w:rPr>
          <w:rFonts w:hint="default" w:ascii="Times New Roman" w:hAnsi="Times New Roman" w:eastAsia="方正小标宋_GBK" w:cs="Times New Roman"/>
          <w:b w:val="0"/>
          <w:bCs w:val="0"/>
          <w:kern w:val="0"/>
          <w:sz w:val="44"/>
          <w:szCs w:val="44"/>
        </w:rPr>
        <w:t>晶美晟光电材料（南京）有限公司扩建</w:t>
      </w:r>
    </w:p>
    <w:p w14:paraId="28C349E7">
      <w:pPr>
        <w:spacing w:line="560" w:lineRule="exact"/>
        <w:jc w:val="center"/>
        <w:rPr>
          <w:rFonts w:hint="default" w:ascii="Times New Roman" w:hAnsi="Times New Roman" w:eastAsia="方正小标宋_GBK" w:cs="Times New Roman"/>
          <w:kern w:val="0"/>
          <w:sz w:val="32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kern w:val="0"/>
          <w:sz w:val="44"/>
          <w:szCs w:val="44"/>
        </w:rPr>
        <w:t>项目</w:t>
      </w: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环境影响报告表的批复</w:t>
      </w:r>
    </w:p>
    <w:p w14:paraId="66F6F4F6">
      <w:pPr>
        <w:spacing w:before="240" w:beforeLines="100" w:line="500" w:lineRule="exact"/>
        <w:rPr>
          <w:rFonts w:hint="default" w:ascii="Times New Roman" w:hAnsi="Times New Roman" w:eastAsia="方正仿宋_GBK" w:cs="Times New Roman"/>
          <w:kern w:val="0"/>
          <w:sz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</w:rPr>
        <w:t>晶美晟光电材料（南京）有限公司：</w:t>
      </w:r>
    </w:p>
    <w:p w14:paraId="2B207D9A">
      <w:pPr>
        <w:widowControl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kern w:val="0"/>
          <w:sz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</w:rPr>
        <w:t>你</w:t>
      </w:r>
      <w:r>
        <w:rPr>
          <w:rFonts w:hint="default" w:ascii="Times New Roman" w:hAnsi="Times New Roman" w:eastAsia="方正仿宋_GBK" w:cs="Times New Roman"/>
          <w:kern w:val="0"/>
          <w:sz w:val="32"/>
          <w:lang w:eastAsia="zh-CN"/>
        </w:rPr>
        <w:t>公司</w:t>
      </w:r>
      <w:r>
        <w:rPr>
          <w:rFonts w:hint="default" w:ascii="Times New Roman" w:hAnsi="Times New Roman" w:eastAsia="方正仿宋_GBK" w:cs="Times New Roman"/>
          <w:kern w:val="0"/>
          <w:sz w:val="32"/>
        </w:rPr>
        <w:t>报送的《晶美晟光电材料（南京）有限公司扩建项目环境影响报告表》（以下简称《报告表》）收悉。经研究，批复如下：</w:t>
      </w:r>
    </w:p>
    <w:p w14:paraId="187F3691">
      <w:pPr>
        <w:pStyle w:val="18"/>
        <w:spacing w:line="500" w:lineRule="exact"/>
        <w:ind w:firstLine="640"/>
        <w:jc w:val="both"/>
        <w:rPr>
          <w:rFonts w:hint="default" w:ascii="Times New Roman" w:hAnsi="Times New Roman" w:eastAsia="方正仿宋_GBK" w:cs="Times New Roman"/>
          <w:kern w:val="0"/>
          <w:sz w:val="32"/>
          <w:szCs w:val="22"/>
        </w:rPr>
      </w:pPr>
      <w:r>
        <w:rPr>
          <w:rFonts w:hint="default" w:ascii="Times New Roman" w:hAnsi="Times New Roman" w:eastAsia="方正仿宋_GBK" w:cs="Times New Roman"/>
          <w:kern w:val="0"/>
          <w:sz w:val="32"/>
        </w:rPr>
        <w:t>一、</w:t>
      </w:r>
      <w:r>
        <w:rPr>
          <w:rFonts w:hint="default" w:ascii="Times New Roman" w:hAnsi="Times New Roman" w:eastAsia="方正仿宋_GBK" w:cs="Times New Roman"/>
          <w:kern w:val="0"/>
          <w:sz w:val="32"/>
          <w:szCs w:val="22"/>
        </w:rPr>
        <w:t>项目（浦政服备〔202</w:t>
      </w:r>
      <w:r>
        <w:rPr>
          <w:rFonts w:hint="eastAsia" w:eastAsia="方正仿宋_GBK" w:cs="Times New Roman"/>
          <w:kern w:val="0"/>
          <w:sz w:val="32"/>
          <w:szCs w:val="2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kern w:val="0"/>
          <w:sz w:val="32"/>
          <w:szCs w:val="22"/>
        </w:rPr>
        <w:t>〕</w:t>
      </w:r>
      <w:r>
        <w:rPr>
          <w:rFonts w:hint="eastAsia" w:eastAsia="方正仿宋_GBK" w:cs="Times New Roman"/>
          <w:kern w:val="0"/>
          <w:sz w:val="32"/>
          <w:szCs w:val="22"/>
          <w:lang w:val="en-US" w:eastAsia="zh-CN"/>
        </w:rPr>
        <w:t>726</w:t>
      </w:r>
      <w:r>
        <w:rPr>
          <w:rFonts w:hint="default" w:ascii="Times New Roman" w:hAnsi="Times New Roman" w:eastAsia="方正仿宋_GBK" w:cs="Times New Roman"/>
          <w:kern w:val="0"/>
          <w:sz w:val="32"/>
          <w:szCs w:val="22"/>
        </w:rPr>
        <w:t>号）选址于南京市浦口经济开发区景天路19号，租赁原厂房二楼作为实验室，新增玻璃反应釜10套，旋转蒸发仪10套等设备，进行实验室搬迁扩建项目。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22"/>
        </w:rPr>
        <w:t>项目研发规模为小试，不涉及中试及生产</w:t>
      </w:r>
      <w:r>
        <w:rPr>
          <w:rFonts w:hint="default" w:ascii="Times New Roman" w:hAnsi="Times New Roman" w:eastAsia="方正仿宋_GBK" w:cs="Times New Roman"/>
          <w:kern w:val="0"/>
          <w:sz w:val="32"/>
          <w:szCs w:val="2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kern w:val="0"/>
          <w:sz w:val="32"/>
          <w:szCs w:val="22"/>
        </w:rPr>
        <w:t>项目总投资约1</w:t>
      </w:r>
      <w:r>
        <w:rPr>
          <w:rFonts w:hint="default" w:ascii="Times New Roman" w:hAnsi="Times New Roman" w:eastAsia="方正仿宋_GBK" w:cs="Times New Roman"/>
          <w:kern w:val="0"/>
          <w:sz w:val="32"/>
          <w:szCs w:val="22"/>
          <w:lang w:val="en-US" w:eastAsia="zh-CN"/>
        </w:rPr>
        <w:t>000</w:t>
      </w:r>
      <w:r>
        <w:rPr>
          <w:rFonts w:hint="default" w:ascii="Times New Roman" w:hAnsi="Times New Roman" w:eastAsia="方正仿宋_GBK" w:cs="Times New Roman"/>
          <w:kern w:val="0"/>
          <w:sz w:val="32"/>
          <w:szCs w:val="22"/>
        </w:rPr>
        <w:t>万元，其中环保投资</w:t>
      </w:r>
      <w:r>
        <w:rPr>
          <w:rFonts w:hint="default" w:ascii="Times New Roman" w:hAnsi="Times New Roman" w:eastAsia="方正仿宋_GBK" w:cs="Times New Roman"/>
          <w:kern w:val="0"/>
          <w:sz w:val="32"/>
          <w:szCs w:val="2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kern w:val="0"/>
          <w:sz w:val="32"/>
          <w:szCs w:val="22"/>
        </w:rPr>
        <w:t>万元。</w:t>
      </w:r>
    </w:p>
    <w:p w14:paraId="635D264D">
      <w:pPr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kern w:val="0"/>
          <w:sz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</w:rPr>
        <w:t>二、依据环评报告结论，在落实《报告表》及本批复提出的污染防治及风险防范措施</w:t>
      </w:r>
      <w:r>
        <w:rPr>
          <w:rFonts w:hint="eastAsia" w:ascii="Times New Roman" w:hAnsi="Times New Roman" w:eastAsia="方正仿宋_GBK" w:cs="Times New Roman"/>
          <w:kern w:val="0"/>
          <w:sz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kern w:val="0"/>
          <w:sz w:val="32"/>
        </w:rPr>
        <w:t>确保各项污染物稳定达标排放的前提下，从环保角度分析，该项目建设可行。</w:t>
      </w:r>
    </w:p>
    <w:p w14:paraId="079338B5">
      <w:pPr>
        <w:widowControl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kern w:val="0"/>
          <w:sz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</w:rPr>
        <w:t>三、在项目工程设计、建设和环境管理中，认真落实《报告表》提出的各项环保要求，严格执行环保“三同时”制度，重点做好以下工作：</w:t>
      </w:r>
    </w:p>
    <w:p w14:paraId="35F33E56">
      <w:pPr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</w:rPr>
        <w:t>（一）落实各项废水污染防治措施。项目生活污水经化粪池预处理后</w:t>
      </w:r>
      <w:r>
        <w:rPr>
          <w:rFonts w:hint="eastAsia" w:ascii="Times New Roman" w:hAnsi="Times New Roman" w:eastAsia="方正仿宋_GBK" w:cs="Times New Roman"/>
          <w:kern w:val="0"/>
          <w:sz w:val="32"/>
          <w:lang w:eastAsia="zh-CN"/>
        </w:rPr>
        <w:t>与</w:t>
      </w:r>
      <w:r>
        <w:rPr>
          <w:rFonts w:hint="default" w:ascii="Times New Roman" w:hAnsi="Times New Roman" w:eastAsia="方正仿宋_GBK" w:cs="Times New Roman"/>
          <w:kern w:val="0"/>
          <w:sz w:val="32"/>
        </w:rPr>
        <w:t>设备清洗废水及纯水制备浓水混合</w:t>
      </w:r>
      <w:bookmarkStart w:id="0" w:name="_GoBack"/>
      <w:r>
        <w:rPr>
          <w:rFonts w:hint="default" w:ascii="Times New Roman" w:hAnsi="Times New Roman" w:eastAsia="方正仿宋_GBK" w:cs="Times New Roman"/>
          <w:kern w:val="0"/>
          <w:sz w:val="32"/>
        </w:rPr>
        <w:t>达</w:t>
      </w:r>
      <w:bookmarkEnd w:id="0"/>
      <w:r>
        <w:rPr>
          <w:rFonts w:hint="default" w:ascii="Times New Roman" w:hAnsi="Times New Roman" w:eastAsia="方正仿宋_GBK" w:cs="Times New Roman"/>
          <w:kern w:val="0"/>
          <w:sz w:val="32"/>
        </w:rPr>
        <w:t>接管要求后接管至浦口经济开发区污水处理厂集中处理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4FAB4720">
      <w:pPr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kern w:val="0"/>
          <w:sz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</w:rPr>
        <w:t>（二）落实各类废气污染防治措施。根据《报告表》所述，实验过程中产生的废气</w:t>
      </w:r>
      <w:r>
        <w:rPr>
          <w:rFonts w:hint="eastAsia" w:ascii="Times New Roman" w:hAnsi="Times New Roman" w:eastAsia="方正仿宋_GBK" w:cs="Times New Roman"/>
          <w:kern w:val="0"/>
          <w:sz w:val="32"/>
          <w:lang w:eastAsia="zh-CN"/>
        </w:rPr>
        <w:t>、危废试剂间废气、试剂库废气收集</w:t>
      </w:r>
      <w:r>
        <w:rPr>
          <w:rFonts w:hint="default" w:ascii="Times New Roman" w:hAnsi="Times New Roman" w:eastAsia="方正仿宋_GBK" w:cs="Times New Roman"/>
          <w:kern w:val="0"/>
          <w:sz w:val="32"/>
        </w:rPr>
        <w:t>经“碱液喷淋吸收+二级活性炭吸附装置”处理后，通过17米高排</w:t>
      </w:r>
      <w:r>
        <w:rPr>
          <w:rFonts w:hint="eastAsia" w:ascii="Times New Roman" w:hAnsi="Times New Roman" w:eastAsia="方正仿宋_GBK" w:cs="Times New Roman"/>
          <w:kern w:val="0"/>
          <w:sz w:val="32"/>
          <w:lang w:eastAsia="zh-CN"/>
        </w:rPr>
        <w:t>气筒</w:t>
      </w:r>
      <w:r>
        <w:rPr>
          <w:rFonts w:hint="default" w:ascii="Times New Roman" w:hAnsi="Times New Roman" w:eastAsia="方正仿宋_GBK" w:cs="Times New Roman"/>
          <w:kern w:val="0"/>
          <w:sz w:val="32"/>
        </w:rPr>
        <w:t>（FQ-3、FQ-4）排放。落实《报告表》对无组织废气的各项污染防治措施，减少废气无组织排放。</w:t>
      </w:r>
    </w:p>
    <w:p w14:paraId="78D48750">
      <w:pPr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kern w:val="0"/>
          <w:sz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</w:rPr>
        <w:t>废气中非甲烷总烃</w:t>
      </w:r>
      <w:r>
        <w:rPr>
          <w:rFonts w:hint="default" w:ascii="Times New Roman" w:hAnsi="Times New Roman" w:eastAsia="方正仿宋_GBK" w:cs="Times New Roman"/>
          <w:kern w:val="0"/>
          <w:sz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kern w:val="0"/>
          <w:sz w:val="32"/>
          <w:lang w:val="en-US" w:eastAsia="zh-CN"/>
        </w:rPr>
        <w:t>氯化氢、甲苯、甲醇</w:t>
      </w:r>
      <w:r>
        <w:rPr>
          <w:rFonts w:hint="default" w:ascii="Times New Roman" w:hAnsi="Times New Roman" w:eastAsia="方正仿宋_GBK" w:cs="Times New Roman"/>
          <w:kern w:val="0"/>
          <w:sz w:val="32"/>
        </w:rPr>
        <w:t>排放执行《大气污染物综合排放标准》（DB32/4041-2021）。</w:t>
      </w:r>
    </w:p>
    <w:p w14:paraId="0C580F76">
      <w:pPr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kern w:val="0"/>
          <w:sz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</w:rPr>
        <w:t>（三）合理布局噪声源，优先选用低噪声设备，采取减振隔声等措施，确保厂界噪声达到《工业企业厂界环境噪声排放标准》（GB12348-2008）</w:t>
      </w:r>
      <w:r>
        <w:rPr>
          <w:rFonts w:hint="default" w:ascii="Times New Roman" w:hAnsi="Times New Roman" w:eastAsia="方正仿宋_GBK" w:cs="Times New Roman"/>
          <w:kern w:val="0"/>
          <w:sz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kern w:val="0"/>
          <w:sz w:val="32"/>
        </w:rPr>
        <w:t>类标准。</w:t>
      </w:r>
    </w:p>
    <w:p w14:paraId="2955DE09">
      <w:pPr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kern w:val="0"/>
          <w:sz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</w:rPr>
        <w:t>（四）按“减量化、资源化、无害化”的处置原则，落实各类固废的收集、贮存和处置措施。</w:t>
      </w:r>
      <w:r>
        <w:rPr>
          <w:rFonts w:hint="default" w:ascii="Times New Roman" w:hAnsi="Times New Roman" w:eastAsia="方正仿宋_GBK" w:cs="Times New Roman"/>
          <w:bCs/>
          <w:kern w:val="0"/>
          <w:sz w:val="32"/>
        </w:rPr>
        <w:t>危险废物（废活性炭、废弃吸收液、研发废液、废样品、清洗废液、实验残渣及废弃Pd/C、实验废弃耗材</w:t>
      </w:r>
      <w:r>
        <w:rPr>
          <w:rFonts w:hint="eastAsia" w:ascii="Times New Roman" w:hAnsi="Times New Roman" w:eastAsia="方正仿宋_GBK" w:cs="Times New Roman"/>
          <w:bCs/>
          <w:kern w:val="0"/>
          <w:sz w:val="32"/>
          <w:lang w:eastAsia="zh-CN"/>
        </w:rPr>
        <w:t>等</w:t>
      </w:r>
      <w:r>
        <w:rPr>
          <w:rFonts w:hint="default" w:ascii="Times New Roman" w:hAnsi="Times New Roman" w:eastAsia="方正仿宋_GBK" w:cs="Times New Roman"/>
          <w:bCs/>
          <w:kern w:val="0"/>
          <w:sz w:val="32"/>
        </w:rPr>
        <w:t>）委托有资质单位处置</w:t>
      </w:r>
      <w:r>
        <w:rPr>
          <w:rFonts w:hint="default" w:ascii="Times New Roman" w:hAnsi="Times New Roman" w:eastAsia="方正仿宋_GBK" w:cs="Times New Roman"/>
          <w:bCs/>
          <w:kern w:val="0"/>
          <w:sz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kern w:val="0"/>
          <w:sz w:val="32"/>
        </w:rPr>
        <w:t>转移处置时，按规定办理相关环保手续。</w:t>
      </w:r>
      <w:r>
        <w:rPr>
          <w:rFonts w:hint="default" w:ascii="Times New Roman" w:hAnsi="Times New Roman" w:eastAsia="方正仿宋_GBK" w:cs="Times New Roman"/>
          <w:kern w:val="0"/>
          <w:sz w:val="32"/>
          <w:lang w:eastAsia="zh-CN"/>
        </w:rPr>
        <w:t>危险废物</w:t>
      </w:r>
      <w:r>
        <w:rPr>
          <w:rFonts w:hint="default" w:ascii="Times New Roman" w:hAnsi="Times New Roman" w:eastAsia="方正仿宋_GBK" w:cs="Times New Roman"/>
          <w:kern w:val="0"/>
          <w:sz w:val="32"/>
        </w:rPr>
        <w:t>贮存设施满足《危险废物贮存污染控制标准》（GB18597-2023），固体废物管理满足《江苏省固体废物全过程环境监管工作意见》（苏环办〔2024〕16号）要求。禁止非法排放、倾倒、处置任何危险废物。</w:t>
      </w:r>
    </w:p>
    <w:p w14:paraId="5E33D3A3">
      <w:pPr>
        <w:pStyle w:val="5"/>
        <w:widowControl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</w:rPr>
        <w:t>（五）严格按照《江苏省排污口设置及规范化整治管理办法》（苏环控〔1997〕122号）要求，规范化设置各类排污口和标志，落实《报告表》提出的环境管理及监测计划。</w:t>
      </w:r>
    </w:p>
    <w:p w14:paraId="054B024A">
      <w:pPr>
        <w:widowControl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kern w:val="0"/>
          <w:sz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</w:rPr>
        <w:t>四、加强环境风险管理，落实《报告表》提出的风险防范和应急措施，编制应急预案并报南京江北新区生态环境和水务局</w:t>
      </w:r>
      <w:r>
        <w:rPr>
          <w:rFonts w:hint="default" w:ascii="Times New Roman" w:hAnsi="Times New Roman" w:eastAsia="方正仿宋_GBK" w:cs="Times New Roman"/>
          <w:bCs/>
          <w:kern w:val="0"/>
          <w:sz w:val="32"/>
        </w:rPr>
        <w:t>（市生态环境局江北新区分局）</w:t>
      </w:r>
      <w:r>
        <w:rPr>
          <w:rFonts w:hint="default" w:ascii="Times New Roman" w:hAnsi="Times New Roman" w:eastAsia="方正仿宋_GBK" w:cs="Times New Roman"/>
          <w:kern w:val="0"/>
          <w:sz w:val="32"/>
        </w:rPr>
        <w:t>备案，定期进行演练。按规定开展安全风险辨识，并及时报应急管理部门。</w:t>
      </w:r>
    </w:p>
    <w:p w14:paraId="29A37DD7">
      <w:pPr>
        <w:widowControl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kern w:val="0"/>
          <w:sz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</w:rPr>
        <w:t>五、本项目已取得江苏省南京浦口经济开发区</w:t>
      </w:r>
      <w:r>
        <w:rPr>
          <w:rFonts w:hint="eastAsia" w:ascii="Times New Roman" w:hAnsi="Times New Roman" w:eastAsia="方正仿宋_GBK" w:cs="Times New Roman"/>
          <w:kern w:val="0"/>
          <w:sz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kern w:val="0"/>
          <w:sz w:val="32"/>
        </w:rPr>
        <w:t>浦口区排污总量指标使用凭证（编号：32011120260129</w:t>
      </w:r>
      <w:r>
        <w:rPr>
          <w:rFonts w:hint="default" w:ascii="Times New Roman" w:hAnsi="Times New Roman" w:eastAsia="方正仿宋_GBK" w:cs="Times New Roman"/>
          <w:kern w:val="0"/>
          <w:sz w:val="32"/>
          <w:lang w:eastAsia="zh-CN"/>
        </w:rPr>
        <w:t>、32011120260130</w:t>
      </w:r>
      <w:r>
        <w:rPr>
          <w:rFonts w:hint="default" w:ascii="Times New Roman" w:hAnsi="Times New Roman" w:eastAsia="方正仿宋_GBK" w:cs="Times New Roman"/>
          <w:kern w:val="0"/>
          <w:sz w:val="32"/>
        </w:rPr>
        <w:t>），本项目主要污染物年排放量核定为：</w:t>
      </w:r>
    </w:p>
    <w:p w14:paraId="001F7A59">
      <w:pPr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kern w:val="0"/>
          <w:sz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</w:rPr>
        <w:t>废水接管量/排放量：废水总量≤</w:t>
      </w:r>
      <w:r>
        <w:rPr>
          <w:rFonts w:hint="default" w:ascii="Times New Roman" w:hAnsi="Times New Roman" w:eastAsia="方正仿宋_GBK" w:cs="Times New Roman"/>
          <w:kern w:val="0"/>
          <w:sz w:val="32"/>
          <w:lang w:val="en-US" w:eastAsia="zh-CN"/>
        </w:rPr>
        <w:t>297.26</w:t>
      </w:r>
      <w:r>
        <w:rPr>
          <w:rFonts w:hint="default" w:ascii="Times New Roman" w:hAnsi="Times New Roman" w:eastAsia="方正仿宋_GBK" w:cs="Times New Roman"/>
          <w:kern w:val="0"/>
          <w:sz w:val="32"/>
        </w:rPr>
        <w:t>吨；COD≤0.</w:t>
      </w:r>
      <w:r>
        <w:rPr>
          <w:rFonts w:hint="eastAsia" w:ascii="Times New Roman" w:hAnsi="Times New Roman" w:eastAsia="方正仿宋_GBK" w:cs="Times New Roman"/>
          <w:kern w:val="0"/>
          <w:sz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kern w:val="0"/>
          <w:sz w:val="32"/>
        </w:rPr>
        <w:t>47808/0.0089吨、SS≤0.04764/0.0</w:t>
      </w:r>
      <w:r>
        <w:rPr>
          <w:rFonts w:hint="eastAsia" w:ascii="Times New Roman" w:hAnsi="Times New Roman" w:eastAsia="方正仿宋_GBK" w:cs="Times New Roman"/>
          <w:kern w:val="0"/>
          <w:sz w:val="32"/>
          <w:lang w:val="en-US" w:eastAsia="zh-CN"/>
        </w:rPr>
        <w:t>03</w:t>
      </w:r>
      <w:r>
        <w:rPr>
          <w:rFonts w:hint="default" w:ascii="Times New Roman" w:hAnsi="Times New Roman" w:eastAsia="方正仿宋_GBK" w:cs="Times New Roman"/>
          <w:kern w:val="0"/>
          <w:sz w:val="32"/>
        </w:rPr>
        <w:t>吨、氨氮≤0.0033/0.00022吨、总氮≤0.00</w:t>
      </w:r>
      <w:r>
        <w:rPr>
          <w:rFonts w:hint="eastAsia" w:ascii="Times New Roman" w:hAnsi="Times New Roman" w:eastAsia="方正仿宋_GBK" w:cs="Times New Roman"/>
          <w:kern w:val="0"/>
          <w:sz w:val="32"/>
          <w:lang w:val="en-US" w:eastAsia="zh-CN"/>
        </w:rPr>
        <w:t>21</w:t>
      </w:r>
      <w:r>
        <w:rPr>
          <w:rFonts w:hint="default" w:ascii="Times New Roman" w:hAnsi="Times New Roman" w:eastAsia="方正仿宋_GBK" w:cs="Times New Roman"/>
          <w:kern w:val="0"/>
          <w:sz w:val="32"/>
        </w:rPr>
        <w:t>/0.00</w:t>
      </w:r>
      <w:r>
        <w:rPr>
          <w:rFonts w:hint="eastAsia" w:ascii="Times New Roman" w:hAnsi="Times New Roman" w:eastAsia="方正仿宋_GBK" w:cs="Times New Roman"/>
          <w:kern w:val="0"/>
          <w:sz w:val="32"/>
          <w:lang w:val="en-US" w:eastAsia="zh-CN"/>
        </w:rPr>
        <w:t>07</w:t>
      </w:r>
      <w:r>
        <w:rPr>
          <w:rFonts w:hint="default" w:ascii="Times New Roman" w:hAnsi="Times New Roman" w:eastAsia="方正仿宋_GBK" w:cs="Times New Roman"/>
          <w:kern w:val="0"/>
          <w:sz w:val="32"/>
        </w:rPr>
        <w:t>4吨、总磷≤0.000</w:t>
      </w:r>
      <w:r>
        <w:rPr>
          <w:rFonts w:hint="eastAsia" w:ascii="Times New Roman" w:hAnsi="Times New Roman" w:eastAsia="方正仿宋_GBK" w:cs="Times New Roman"/>
          <w:kern w:val="0"/>
          <w:sz w:val="32"/>
          <w:lang w:val="en-US" w:eastAsia="zh-CN"/>
        </w:rPr>
        <w:t>24</w:t>
      </w:r>
      <w:r>
        <w:rPr>
          <w:rFonts w:hint="default" w:ascii="Times New Roman" w:hAnsi="Times New Roman" w:eastAsia="方正仿宋_GBK" w:cs="Times New Roman"/>
          <w:kern w:val="0"/>
          <w:sz w:val="32"/>
        </w:rPr>
        <w:t>/0.000</w:t>
      </w:r>
      <w:r>
        <w:rPr>
          <w:rFonts w:hint="eastAsia" w:ascii="Times New Roman" w:hAnsi="Times New Roman" w:eastAsia="方正仿宋_GBK" w:cs="Times New Roman"/>
          <w:kern w:val="0"/>
          <w:sz w:val="32"/>
          <w:lang w:val="en-US" w:eastAsia="zh-CN"/>
        </w:rPr>
        <w:t>044</w:t>
      </w:r>
      <w:r>
        <w:rPr>
          <w:rFonts w:hint="default" w:ascii="Times New Roman" w:hAnsi="Times New Roman" w:eastAsia="方正仿宋_GBK" w:cs="Times New Roman"/>
          <w:kern w:val="0"/>
          <w:sz w:val="32"/>
        </w:rPr>
        <w:t>吨</w:t>
      </w:r>
      <w:r>
        <w:rPr>
          <w:rFonts w:hint="default" w:ascii="Times New Roman" w:hAnsi="Times New Roman" w:eastAsia="方正仿宋_GBK" w:cs="Times New Roman"/>
          <w:kern w:val="0"/>
          <w:sz w:val="32"/>
          <w:lang w:val="en-US" w:eastAsia="zh-CN"/>
        </w:rPr>
        <w:t>。</w:t>
      </w:r>
    </w:p>
    <w:p w14:paraId="52A5689F">
      <w:pPr>
        <w:widowControl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kern w:val="0"/>
          <w:sz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</w:rPr>
        <w:t>废气排放量（有组织）：VOCs≤0.0058吨。</w:t>
      </w:r>
    </w:p>
    <w:p w14:paraId="20949F00">
      <w:pPr>
        <w:widowControl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kern w:val="0"/>
          <w:sz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</w:rPr>
        <w:t>本项目（含“以新带老”措施）建成（实施）后，全厂污染物年排放量核定如下：</w:t>
      </w:r>
    </w:p>
    <w:p w14:paraId="1F5EDE69">
      <w:pPr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kern w:val="0"/>
          <w:sz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</w:rPr>
        <w:t>废水接管量/排放量：废水总量≤</w:t>
      </w:r>
      <w:r>
        <w:rPr>
          <w:rFonts w:hint="eastAsia" w:ascii="Times New Roman" w:hAnsi="Times New Roman" w:eastAsia="方正仿宋_GBK" w:cs="Times New Roman"/>
          <w:kern w:val="0"/>
          <w:sz w:val="32"/>
          <w:lang w:val="en-US" w:eastAsia="zh-CN"/>
        </w:rPr>
        <w:t>1393.26</w:t>
      </w:r>
      <w:r>
        <w:rPr>
          <w:rFonts w:hint="default" w:ascii="Times New Roman" w:hAnsi="Times New Roman" w:eastAsia="方正仿宋_GBK" w:cs="Times New Roman"/>
          <w:kern w:val="0"/>
          <w:sz w:val="32"/>
        </w:rPr>
        <w:t>吨；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</w:rPr>
        <w:t>COD≤0.462908/0.02066吨</w:t>
      </w:r>
      <w:r>
        <w:rPr>
          <w:rFonts w:hint="default" w:ascii="Times New Roman" w:hAnsi="Times New Roman" w:eastAsia="方正仿宋_GBK" w:cs="Times New Roman"/>
          <w:kern w:val="0"/>
          <w:sz w:val="32"/>
        </w:rPr>
        <w:t>、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</w:rPr>
        <w:t>SS≤0.0545/0.00692吨</w:t>
      </w:r>
      <w:r>
        <w:rPr>
          <w:rFonts w:hint="default" w:ascii="Times New Roman" w:hAnsi="Times New Roman" w:eastAsia="方正仿宋_GBK" w:cs="Times New Roman"/>
          <w:kern w:val="0"/>
          <w:sz w:val="32"/>
        </w:rPr>
        <w:t>、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</w:rPr>
        <w:t>氨氮≤0.0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lang w:val="en-US" w:eastAsia="zh-CN"/>
        </w:rPr>
        <w:t>4642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</w:rPr>
        <w:t>/0.00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lang w:val="en-US" w:eastAsia="zh-CN"/>
        </w:rPr>
        <w:t>1788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</w:rPr>
        <w:t>吨</w:t>
      </w:r>
      <w:r>
        <w:rPr>
          <w:rFonts w:hint="default" w:ascii="Times New Roman" w:hAnsi="Times New Roman" w:eastAsia="方正仿宋_GBK" w:cs="Times New Roman"/>
          <w:kern w:val="0"/>
          <w:sz w:val="32"/>
        </w:rPr>
        <w:t>、总氮≤0.0021/0.00074吨、总磷≤0.00024/0.000044吨。</w:t>
      </w:r>
    </w:p>
    <w:p w14:paraId="6BED3A81">
      <w:pPr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kern w:val="0"/>
          <w:sz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</w:rPr>
        <w:t>废气排放量（有组织）：VOCs≤</w:t>
      </w:r>
      <w:r>
        <w:rPr>
          <w:rFonts w:hint="eastAsia" w:ascii="Times New Roman" w:hAnsi="Times New Roman" w:eastAsia="方正仿宋_GBK" w:cs="Times New Roman"/>
          <w:kern w:val="0"/>
          <w:sz w:val="32"/>
          <w:lang w:val="en-US" w:eastAsia="zh-CN"/>
        </w:rPr>
        <w:t>0.01161</w:t>
      </w:r>
      <w:r>
        <w:rPr>
          <w:rFonts w:hint="default" w:ascii="Times New Roman" w:hAnsi="Times New Roman" w:eastAsia="方正仿宋_GBK" w:cs="Times New Roman"/>
          <w:kern w:val="0"/>
          <w:sz w:val="32"/>
        </w:rPr>
        <w:t>吨。</w:t>
      </w:r>
    </w:p>
    <w:p w14:paraId="2EAB6FC2">
      <w:pPr>
        <w:widowControl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kern w:val="0"/>
          <w:sz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</w:rPr>
        <w:t>六、项目配套的污染防治设施必须与主体工程同时设计、同时施工、同时投产使用。项目竣工后，按规定对配套建设的环境保护设施进行验收。项目运营期的日常环境监管由南京江北新区生态环境和水务局（市生态环境局江北新区分局）负责。</w:t>
      </w:r>
    </w:p>
    <w:p w14:paraId="01EB3F18">
      <w:pPr>
        <w:pStyle w:val="17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</w:rPr>
        <w:t>七、《报告表》经批准后，项目的性质、规模、地点、采用的生产工艺或者防治污染、防止生态破坏的措施发生重大变动的，应当重新报批环境影响评价文件。本项目环境影响报告表自批准之日起满5年，项目方开工建设的，其环境影响评价文件应重新审核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。</w:t>
      </w:r>
    </w:p>
    <w:p w14:paraId="38E0387D">
      <w:pPr>
        <w:pStyle w:val="17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八、国家或地方对该项目污染物排放有新标准、新要求的，从其规定。</w:t>
      </w:r>
    </w:p>
    <w:p w14:paraId="0CE3D2CE">
      <w:pPr>
        <w:wordWrap w:val="0"/>
        <w:spacing w:line="560" w:lineRule="exact"/>
        <w:jc w:val="right"/>
        <w:rPr>
          <w:rFonts w:hint="default" w:ascii="Times New Roman" w:hAnsi="Times New Roman" w:eastAsia="方正仿宋_GBK" w:cs="Times New Roman"/>
          <w:sz w:val="28"/>
          <w:szCs w:val="28"/>
        </w:rPr>
      </w:pPr>
    </w:p>
    <w:p w14:paraId="3A7CEDD5">
      <w:pPr>
        <w:pStyle w:val="2"/>
        <w:rPr>
          <w:rFonts w:hint="default" w:ascii="Times New Roman" w:hAnsi="Times New Roman" w:cs="Times New Roman"/>
        </w:rPr>
      </w:pPr>
    </w:p>
    <w:p w14:paraId="1B1AE694">
      <w:pPr>
        <w:pStyle w:val="5"/>
        <w:rPr>
          <w:rFonts w:hint="default" w:ascii="Times New Roman" w:hAnsi="Times New Roman" w:cs="Times New Roman"/>
        </w:rPr>
      </w:pPr>
    </w:p>
    <w:p w14:paraId="720C8904">
      <w:pPr>
        <w:wordWrap w:val="0"/>
        <w:spacing w:line="560" w:lineRule="exact"/>
        <w:jc w:val="righ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南京江北新区管委会政务服务管理办公室</w:t>
      </w:r>
    </w:p>
    <w:p w14:paraId="65F142B5">
      <w:pPr>
        <w:wordWrap w:val="0"/>
        <w:spacing w:line="560" w:lineRule="exact"/>
        <w:ind w:right="840" w:rightChars="400" w:firstLine="4800" w:firstLineChars="1500"/>
        <w:rPr>
          <w:rFonts w:hint="default" w:ascii="Times New Roman" w:hAnsi="Times New Roman" w:eastAsia="方正仿宋_GBK" w:cs="Times New Roman"/>
          <w:kern w:val="0"/>
          <w:sz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2026年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日   </w:t>
      </w:r>
    </w:p>
    <w:tbl>
      <w:tblPr>
        <w:tblStyle w:val="11"/>
        <w:tblpPr w:horzAnchor="margin" w:tblpXSpec="center" w:tblpYSpec="bottom"/>
        <w:tblW w:w="8845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6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5"/>
      </w:tblGrid>
      <w:tr w14:paraId="4DFF5D4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45" w:type="dxa"/>
            <w:tcBorders>
              <w:top w:val="single" w:color="auto" w:sz="8" w:space="0"/>
            </w:tcBorders>
            <w:vAlign w:val="center"/>
          </w:tcPr>
          <w:p w14:paraId="7398F517">
            <w:pPr>
              <w:spacing w:line="560" w:lineRule="exact"/>
              <w:ind w:left="1050" w:leftChars="100" w:right="210" w:rightChars="100" w:hanging="840" w:hangingChars="300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抄送：南京江北新区管委会生态环境和水务局（市生态环境局江北新区分局）、应急管理局，南京浦口经济开发区管委会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淮安晓牧环保服务有限公司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。</w:t>
            </w:r>
          </w:p>
        </w:tc>
      </w:tr>
      <w:tr w14:paraId="3EBCC15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45" w:type="dxa"/>
            <w:tcBorders>
              <w:bottom w:val="single" w:color="auto" w:sz="8" w:space="0"/>
            </w:tcBorders>
            <w:vAlign w:val="center"/>
          </w:tcPr>
          <w:p w14:paraId="58AB4D2E">
            <w:pPr>
              <w:spacing w:line="560" w:lineRule="exact"/>
              <w:ind w:left="210" w:leftChars="100" w:right="210" w:rightChars="100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南京江北新区管委会政务服务管理办公室   2026年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/>
              </w:rPr>
              <w:t>31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日印发</w:t>
            </w:r>
          </w:p>
        </w:tc>
      </w:tr>
    </w:tbl>
    <w:p w14:paraId="6A52FCF3">
      <w:pPr>
        <w:spacing w:line="560" w:lineRule="exact"/>
        <w:rPr>
          <w:rFonts w:hint="default" w:ascii="Times New Roman" w:hAnsi="Times New Roman" w:eastAsia="方正仿宋_GBK" w:cs="Times New Roman"/>
          <w:kern w:val="0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1247" w:footer="1389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83D3DDBF-8A4F-4EF5-AD91-34EFA4D0DF2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130D5BF-F88C-425B-8740-60263E1F104D}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6341265-F843-43D0-ACDB-C1049E45BC0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AE90AA1-0BA5-47DE-98C3-1924F9E1CC33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B1538456-A502-4DC0-9018-D0EE7BF0DB5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B7911C12-D3BF-48AA-8350-4C540268FC8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34983">
    <w:pPr>
      <w:pStyle w:val="9"/>
      <w:wordWrap w:val="0"/>
      <w:spacing w:line="560" w:lineRule="exact"/>
      <w:ind w:right="210" w:rightChars="100"/>
      <w:jc w:val="right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9EAEE2">
    <w:pPr>
      <w:pStyle w:val="9"/>
      <w:spacing w:line="560" w:lineRule="exact"/>
      <w:ind w:left="210" w:leftChars="100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1"/>
  <w:bordersDoNotSurroundFooter w:val="1"/>
  <w:doNotTrackMoves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178"/>
    <w:rsid w:val="00031061"/>
    <w:rsid w:val="00036C1D"/>
    <w:rsid w:val="0004375B"/>
    <w:rsid w:val="00062D74"/>
    <w:rsid w:val="00072AFA"/>
    <w:rsid w:val="00085DC7"/>
    <w:rsid w:val="00095D24"/>
    <w:rsid w:val="000A5073"/>
    <w:rsid w:val="000C376F"/>
    <w:rsid w:val="000D61A6"/>
    <w:rsid w:val="00152178"/>
    <w:rsid w:val="00183669"/>
    <w:rsid w:val="00192D7B"/>
    <w:rsid w:val="001A2181"/>
    <w:rsid w:val="001B1394"/>
    <w:rsid w:val="001B63B5"/>
    <w:rsid w:val="001F4A0D"/>
    <w:rsid w:val="002031BD"/>
    <w:rsid w:val="002158E6"/>
    <w:rsid w:val="00230357"/>
    <w:rsid w:val="00257918"/>
    <w:rsid w:val="00265479"/>
    <w:rsid w:val="00282EB1"/>
    <w:rsid w:val="00293018"/>
    <w:rsid w:val="00293678"/>
    <w:rsid w:val="002C0EB5"/>
    <w:rsid w:val="002C11AD"/>
    <w:rsid w:val="002D72CF"/>
    <w:rsid w:val="002E6E46"/>
    <w:rsid w:val="002E79E7"/>
    <w:rsid w:val="002F263F"/>
    <w:rsid w:val="00327289"/>
    <w:rsid w:val="00364D90"/>
    <w:rsid w:val="00372428"/>
    <w:rsid w:val="003B0C35"/>
    <w:rsid w:val="003B2932"/>
    <w:rsid w:val="003D6E90"/>
    <w:rsid w:val="00400745"/>
    <w:rsid w:val="00401CC2"/>
    <w:rsid w:val="00403ACB"/>
    <w:rsid w:val="00407A68"/>
    <w:rsid w:val="00414F66"/>
    <w:rsid w:val="00422417"/>
    <w:rsid w:val="00437700"/>
    <w:rsid w:val="00495A37"/>
    <w:rsid w:val="005113E8"/>
    <w:rsid w:val="00534E9C"/>
    <w:rsid w:val="00567BE8"/>
    <w:rsid w:val="005829ED"/>
    <w:rsid w:val="005A106C"/>
    <w:rsid w:val="005A228A"/>
    <w:rsid w:val="005A2A6E"/>
    <w:rsid w:val="005D7E9B"/>
    <w:rsid w:val="005F00E6"/>
    <w:rsid w:val="006261CE"/>
    <w:rsid w:val="00630777"/>
    <w:rsid w:val="006340E0"/>
    <w:rsid w:val="00672980"/>
    <w:rsid w:val="00680AD4"/>
    <w:rsid w:val="006928B2"/>
    <w:rsid w:val="006952B7"/>
    <w:rsid w:val="006B6736"/>
    <w:rsid w:val="006B6B34"/>
    <w:rsid w:val="00734DEF"/>
    <w:rsid w:val="007426EB"/>
    <w:rsid w:val="00743A2F"/>
    <w:rsid w:val="00750D2D"/>
    <w:rsid w:val="00760C6D"/>
    <w:rsid w:val="00771D87"/>
    <w:rsid w:val="00780336"/>
    <w:rsid w:val="00781B27"/>
    <w:rsid w:val="00791AFA"/>
    <w:rsid w:val="0079522A"/>
    <w:rsid w:val="007D0DF0"/>
    <w:rsid w:val="008115B6"/>
    <w:rsid w:val="00821705"/>
    <w:rsid w:val="0088192F"/>
    <w:rsid w:val="0089097C"/>
    <w:rsid w:val="00896CD7"/>
    <w:rsid w:val="008A0D91"/>
    <w:rsid w:val="008B5E38"/>
    <w:rsid w:val="008D182A"/>
    <w:rsid w:val="008E3C71"/>
    <w:rsid w:val="008F6569"/>
    <w:rsid w:val="008F7991"/>
    <w:rsid w:val="00910CB5"/>
    <w:rsid w:val="00920F96"/>
    <w:rsid w:val="00934D17"/>
    <w:rsid w:val="009433B9"/>
    <w:rsid w:val="00956956"/>
    <w:rsid w:val="00971E5A"/>
    <w:rsid w:val="009866BD"/>
    <w:rsid w:val="009D44C4"/>
    <w:rsid w:val="009E1029"/>
    <w:rsid w:val="009E2E6A"/>
    <w:rsid w:val="00A3234C"/>
    <w:rsid w:val="00A46937"/>
    <w:rsid w:val="00A966F3"/>
    <w:rsid w:val="00A96F62"/>
    <w:rsid w:val="00AA2E52"/>
    <w:rsid w:val="00AB0F5E"/>
    <w:rsid w:val="00AB1974"/>
    <w:rsid w:val="00AD401E"/>
    <w:rsid w:val="00AF493D"/>
    <w:rsid w:val="00B064E5"/>
    <w:rsid w:val="00B101AD"/>
    <w:rsid w:val="00B238E7"/>
    <w:rsid w:val="00B64CD0"/>
    <w:rsid w:val="00B66275"/>
    <w:rsid w:val="00B731C0"/>
    <w:rsid w:val="00B92C21"/>
    <w:rsid w:val="00C167BA"/>
    <w:rsid w:val="00C246C4"/>
    <w:rsid w:val="00C24726"/>
    <w:rsid w:val="00C46259"/>
    <w:rsid w:val="00C616A4"/>
    <w:rsid w:val="00C81810"/>
    <w:rsid w:val="00C87A4E"/>
    <w:rsid w:val="00CC4016"/>
    <w:rsid w:val="00CC78A9"/>
    <w:rsid w:val="00CE39D8"/>
    <w:rsid w:val="00CE4381"/>
    <w:rsid w:val="00D01A32"/>
    <w:rsid w:val="00D053D9"/>
    <w:rsid w:val="00D163C3"/>
    <w:rsid w:val="00D164E9"/>
    <w:rsid w:val="00D60334"/>
    <w:rsid w:val="00D83FF5"/>
    <w:rsid w:val="00D84011"/>
    <w:rsid w:val="00DB53CD"/>
    <w:rsid w:val="00DB6A6B"/>
    <w:rsid w:val="00E27447"/>
    <w:rsid w:val="00E416F0"/>
    <w:rsid w:val="00E77952"/>
    <w:rsid w:val="00E824DF"/>
    <w:rsid w:val="00F14424"/>
    <w:rsid w:val="00F654D0"/>
    <w:rsid w:val="00F73B5C"/>
    <w:rsid w:val="00F740DD"/>
    <w:rsid w:val="00F75222"/>
    <w:rsid w:val="00F8281C"/>
    <w:rsid w:val="00F875F3"/>
    <w:rsid w:val="00FA2CB3"/>
    <w:rsid w:val="00FB5C07"/>
    <w:rsid w:val="00FB6508"/>
    <w:rsid w:val="04051DA4"/>
    <w:rsid w:val="051E76A1"/>
    <w:rsid w:val="0A364087"/>
    <w:rsid w:val="0C365B2A"/>
    <w:rsid w:val="0F4515E9"/>
    <w:rsid w:val="11136ED3"/>
    <w:rsid w:val="11E73434"/>
    <w:rsid w:val="12556427"/>
    <w:rsid w:val="136E3ADE"/>
    <w:rsid w:val="15ED5FD3"/>
    <w:rsid w:val="17DE7B89"/>
    <w:rsid w:val="17E13CFE"/>
    <w:rsid w:val="18C646C9"/>
    <w:rsid w:val="26500037"/>
    <w:rsid w:val="27010A11"/>
    <w:rsid w:val="274B35A2"/>
    <w:rsid w:val="27BE3550"/>
    <w:rsid w:val="2D173C07"/>
    <w:rsid w:val="315035AA"/>
    <w:rsid w:val="36F06C11"/>
    <w:rsid w:val="37AA3030"/>
    <w:rsid w:val="38E17EBE"/>
    <w:rsid w:val="3BDFA37D"/>
    <w:rsid w:val="3D902C25"/>
    <w:rsid w:val="3EFE23DC"/>
    <w:rsid w:val="45981EC5"/>
    <w:rsid w:val="4C3439F7"/>
    <w:rsid w:val="4CE73D2F"/>
    <w:rsid w:val="551E6594"/>
    <w:rsid w:val="55A52896"/>
    <w:rsid w:val="566F27A6"/>
    <w:rsid w:val="57893BAC"/>
    <w:rsid w:val="58045430"/>
    <w:rsid w:val="5864629A"/>
    <w:rsid w:val="58675193"/>
    <w:rsid w:val="58957B25"/>
    <w:rsid w:val="5BAFB278"/>
    <w:rsid w:val="5E9F12DF"/>
    <w:rsid w:val="5F222379"/>
    <w:rsid w:val="5F5D6BBF"/>
    <w:rsid w:val="5FBE3F73"/>
    <w:rsid w:val="60EF3F79"/>
    <w:rsid w:val="62B45E4C"/>
    <w:rsid w:val="63BF986E"/>
    <w:rsid w:val="66325BD3"/>
    <w:rsid w:val="67A37790"/>
    <w:rsid w:val="69A75AEC"/>
    <w:rsid w:val="6A537C4E"/>
    <w:rsid w:val="6E37EE2A"/>
    <w:rsid w:val="6F6658E1"/>
    <w:rsid w:val="719D3496"/>
    <w:rsid w:val="7403797D"/>
    <w:rsid w:val="75994BE7"/>
    <w:rsid w:val="75FB2151"/>
    <w:rsid w:val="75FE492F"/>
    <w:rsid w:val="76DB720A"/>
    <w:rsid w:val="7755F3AF"/>
    <w:rsid w:val="77AB4FD2"/>
    <w:rsid w:val="77BF819E"/>
    <w:rsid w:val="77C52EF0"/>
    <w:rsid w:val="7BDA01FB"/>
    <w:rsid w:val="7BFF436E"/>
    <w:rsid w:val="7E81458A"/>
    <w:rsid w:val="7F44661B"/>
    <w:rsid w:val="7FBF3E8D"/>
    <w:rsid w:val="7FD522A5"/>
    <w:rsid w:val="7FD7C1CB"/>
    <w:rsid w:val="7FEA1D6E"/>
    <w:rsid w:val="9CFDCF92"/>
    <w:rsid w:val="9DCD2060"/>
    <w:rsid w:val="B7FB8DBD"/>
    <w:rsid w:val="BFD369C8"/>
    <w:rsid w:val="D3CD1E7B"/>
    <w:rsid w:val="EFB7E643"/>
    <w:rsid w:val="F3D5B538"/>
    <w:rsid w:val="FBEB0313"/>
    <w:rsid w:val="FBED9C08"/>
    <w:rsid w:val="FEBBF3BF"/>
    <w:rsid w:val="FED25EFF"/>
    <w:rsid w:val="FEEE932A"/>
    <w:rsid w:val="FFFBDE8D"/>
    <w:rsid w:val="FFFF9E0D"/>
    <w:rsid w:val="FFFFD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semiHidden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ind w:firstLine="200" w:firstLineChars="200"/>
    </w:pPr>
    <w:rPr>
      <w:sz w:val="28"/>
    </w:rPr>
  </w:style>
  <w:style w:type="paragraph" w:customStyle="1" w:styleId="5">
    <w:name w:val="Default"/>
    <w:basedOn w:val="6"/>
    <w:autoRedefine/>
    <w:qFormat/>
    <w:uiPriority w:val="0"/>
    <w:rPr>
      <w:rFonts w:ascii="仿宋" w:hAnsi="Times New Roman" w:eastAsia="仿宋" w:cs="仿宋"/>
      <w:color w:val="000000"/>
      <w:sz w:val="24"/>
      <w:szCs w:val="24"/>
    </w:rPr>
  </w:style>
  <w:style w:type="paragraph" w:customStyle="1" w:styleId="6">
    <w:name w:val="纯文本1"/>
    <w:basedOn w:val="1"/>
    <w:autoRedefine/>
    <w:qFormat/>
    <w:uiPriority w:val="99"/>
    <w:pPr>
      <w:autoSpaceDE w:val="0"/>
      <w:autoSpaceDN w:val="0"/>
      <w:adjustRightInd w:val="0"/>
      <w:textAlignment w:val="baseline"/>
    </w:pPr>
    <w:rPr>
      <w:rFonts w:ascii="宋体"/>
      <w:szCs w:val="20"/>
    </w:rPr>
  </w:style>
  <w:style w:type="paragraph" w:styleId="7">
    <w:name w:val="annotation text"/>
    <w:basedOn w:val="1"/>
    <w:semiHidden/>
    <w:unhideWhenUsed/>
    <w:qFormat/>
    <w:uiPriority w:val="99"/>
    <w:pPr>
      <w:jc w:val="left"/>
    </w:pPr>
  </w:style>
  <w:style w:type="paragraph" w:styleId="8">
    <w:name w:val="Balloon Text"/>
    <w:basedOn w:val="1"/>
    <w:link w:val="14"/>
    <w:qFormat/>
    <w:uiPriority w:val="99"/>
    <w:rPr>
      <w:sz w:val="18"/>
      <w:szCs w:val="18"/>
    </w:rPr>
  </w:style>
  <w:style w:type="paragraph" w:styleId="9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99"/>
    <w:pPr>
      <w:ind w:firstLine="200" w:firstLineChars="200"/>
      <w:jc w:val="both"/>
    </w:pPr>
    <w:rPr>
      <w:rFonts w:ascii="Times New Roman" w:hAnsi="Times New Roman" w:eastAsia="仿宋"/>
      <w:sz w:val="3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批注框文本 Char"/>
    <w:link w:val="8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页脚 Char"/>
    <w:link w:val="9"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页眉 Char"/>
    <w:link w:val="10"/>
    <w:qFormat/>
    <w:locked/>
    <w:uiPriority w:val="99"/>
    <w:rPr>
      <w:rFonts w:cs="Times New Roman"/>
      <w:sz w:val="18"/>
      <w:szCs w:val="18"/>
    </w:rPr>
  </w:style>
  <w:style w:type="paragraph" w:customStyle="1" w:styleId="17">
    <w:name w:val="p0"/>
    <w:basedOn w:val="1"/>
    <w:qFormat/>
    <w:uiPriority w:val="99"/>
    <w:pPr>
      <w:widowControl/>
    </w:pPr>
    <w:rPr>
      <w:kern w:val="0"/>
      <w:szCs w:val="21"/>
    </w:rPr>
  </w:style>
  <w:style w:type="paragraph" w:customStyle="1" w:styleId="18">
    <w:name w:val="报告表正文"/>
    <w:basedOn w:val="19"/>
    <w:autoRedefine/>
    <w:qFormat/>
    <w:uiPriority w:val="0"/>
    <w:pPr>
      <w:ind w:firstLine="200" w:firstLineChars="200"/>
      <w:jc w:val="left"/>
    </w:pPr>
    <w:rPr>
      <w:rFonts w:ascii="Times New Roman" w:hAnsi="Times New Roman" w:eastAsia="仿宋"/>
      <w:szCs w:val="24"/>
    </w:rPr>
  </w:style>
  <w:style w:type="paragraph" w:customStyle="1" w:styleId="19">
    <w:name w:val="列表1"/>
    <w:basedOn w:val="1"/>
    <w:autoRedefine/>
    <w:qFormat/>
    <w:uiPriority w:val="0"/>
    <w:pPr>
      <w:spacing w:line="400" w:lineRule="exact"/>
      <w:jc w:val="center"/>
    </w:pPr>
    <w:rPr>
      <w:rFonts w:eastAsia="方正仿宋_GB231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3c32fbe2-c0c7-42b5-8a49-d01ae843bd7c</errorID>
      <errorWord>达</errorWord>
      <group>L1_Word</group>
      <groupName>字词问题</groupName>
      <ability>L2_Typo</ability>
      <abilityName>字词错误</abilityName>
      <candidateList>
        <item>达到</item>
      </candidateList>
      <explain/>
      <paraID>35F33E56</paraID>
      <start>46</start>
      <end>47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566b9d-a3e5-442e-9cdf-c206098cfa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1612</Words>
  <Characters>1907</Characters>
  <Lines>15</Lines>
  <Paragraphs>4</Paragraphs>
  <TotalTime>733</TotalTime>
  <ScaleCrop>false</ScaleCrop>
  <LinksUpToDate>false</LinksUpToDate>
  <CharactersWithSpaces>1915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2016-12-19T08:21:00Z</dcterms:created>
  <dc:creator>AutoBVT</dc:creator>
  <cp:lastModifiedBy>杨予昕</cp:lastModifiedBy>
  <cp:lastPrinted>2026-07-23T09:25:00Z</cp:lastPrinted>
  <dcterms:modified xsi:type="dcterms:W3CDTF">2026-08-21T02:19:26Z</dcterms:modified>
  <dc:title>宁新区管政发〔201x〕x号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eyJoZGlkIjoiMDkxNzNmNGFmYWJhMmU5NjE0Njc0ZGJkYWZmNGIzOTUiLCJ1c2VySWQiOiIzNDkzODAwNTkifQ==</vt:lpwstr>
  </property>
  <property fmtid="{D5CDD505-2E9C-101B-9397-08002B2CF9AE}" pid="4" name="ICV">
    <vt:lpwstr>CD5B6CAF39C38FE3B7B1506A46F7D6FD_43</vt:lpwstr>
  </property>
</Properties>
</file>