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D0DA53">
      <w:pPr>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outlineLvl w:val="0"/>
        <w:rPr>
          <w:rFonts w:hint="default" w:ascii="Times New Roman" w:hAnsi="Times New Roman" w:eastAsia="方正仿宋_GBK" w:cs="Times New Roman"/>
          <w:b w:val="0"/>
          <w:bCs/>
          <w:color w:val="000000" w:themeColor="text1"/>
          <w:sz w:val="44"/>
          <w:szCs w:val="44"/>
          <w:highlight w:val="none"/>
          <w14:textFill>
            <w14:solidFill>
              <w14:schemeClr w14:val="tx1"/>
            </w14:solidFill>
          </w14:textFill>
        </w:rPr>
      </w:pPr>
      <w:bookmarkStart w:id="0" w:name="_Toc14456"/>
      <w:r>
        <w:rPr>
          <w:rFonts w:hint="eastAsia" w:ascii="方正小标宋_GBK" w:hAnsi="方正小标宋_GBK" w:eastAsia="方正小标宋_GBK" w:cs="方正小标宋_GBK"/>
          <w:b w:val="0"/>
          <w:bCs/>
          <w:color w:val="000000" w:themeColor="text1"/>
          <w:sz w:val="44"/>
          <w:szCs w:val="44"/>
          <w:highlight w:val="none"/>
          <w:lang w:val="en-US" w:eastAsia="zh-CN"/>
          <w14:textFill>
            <w14:solidFill>
              <w14:schemeClr w14:val="tx1"/>
            </w14:solidFill>
          </w14:textFill>
        </w:rPr>
        <w:t>南京市政府采购</w:t>
      </w:r>
      <w:r>
        <w:rPr>
          <w:rFonts w:hint="eastAsia" w:ascii="方正小标宋_GBK" w:hAnsi="方正小标宋_GBK" w:eastAsia="方正小标宋_GBK" w:cs="方正小标宋_GBK"/>
          <w:b w:val="0"/>
          <w:bCs/>
          <w:color w:val="000000" w:themeColor="text1"/>
          <w:sz w:val="44"/>
          <w:szCs w:val="44"/>
          <w:highlight w:val="none"/>
          <w14:textFill>
            <w14:solidFill>
              <w14:schemeClr w14:val="tx1"/>
            </w14:solidFill>
          </w14:textFill>
        </w:rPr>
        <w:t>合同</w:t>
      </w:r>
      <w:bookmarkEnd w:id="0"/>
    </w:p>
    <w:p w14:paraId="4C94E18D">
      <w:pPr>
        <w:pageBreakBefore w:val="0"/>
        <w:kinsoku/>
        <w:wordWrap/>
        <w:overflowPunct/>
        <w:topLinePunct w:val="0"/>
        <w:bidi w:val="0"/>
        <w:adjustRightInd/>
        <w:snapToGrid/>
        <w:spacing w:line="560" w:lineRule="exact"/>
        <w:ind w:firstLine="320" w:firstLineChars="100"/>
        <w:contextualSpacing/>
        <w:textAlignment w:val="auto"/>
        <w:outlineLvl w:val="9"/>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 xml:space="preserve">合同编号： </w:t>
      </w:r>
    </w:p>
    <w:tbl>
      <w:tblPr>
        <w:tblStyle w:val="4"/>
        <w:tblW w:w="9700"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0" w:type="dxa"/>
          <w:bottom w:w="0" w:type="dxa"/>
          <w:right w:w="0" w:type="dxa"/>
        </w:tblCellMar>
      </w:tblPr>
      <w:tblGrid>
        <w:gridCol w:w="4850"/>
        <w:gridCol w:w="4850"/>
      </w:tblGrid>
      <w:tr w14:paraId="3C59156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0" w:type="dxa"/>
            <w:bottom w:w="0" w:type="dxa"/>
            <w:right w:w="0" w:type="dxa"/>
          </w:tblCellMar>
        </w:tblPrEx>
        <w:trPr>
          <w:jc w:val="center"/>
        </w:trPr>
        <w:tc>
          <w:tcPr>
            <w:tcW w:w="4850" w:type="dxa"/>
            <w:tcBorders>
              <w:tl2br w:val="nil"/>
              <w:tr2bl w:val="nil"/>
            </w:tcBorders>
            <w:vAlign w:val="top"/>
          </w:tcPr>
          <w:p w14:paraId="65587CA3">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560" w:lineRule="exact"/>
              <w:ind w:left="0" w:right="0"/>
              <w:contextualSpacing/>
              <w:jc w:val="left"/>
              <w:textAlignment w:val="auto"/>
              <w:outlineLvl w:val="9"/>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采购人：</w:t>
            </w:r>
            <w:r>
              <w:rPr>
                <w:rFonts w:hint="default" w:ascii="Times New Roman" w:hAnsi="Times New Roman" w:eastAsia="方正仿宋_GBK" w:cs="Times New Roman"/>
                <w:color w:val="000000" w:themeColor="text1"/>
                <w:sz w:val="32"/>
                <w:szCs w:val="32"/>
                <w:highlight w:val="none"/>
                <w:lang w:val="zh-CN" w:eastAsia="zh-CN"/>
                <w14:textFill>
                  <w14:solidFill>
                    <w14:schemeClr w14:val="tx1"/>
                  </w14:solidFill>
                </w14:textFill>
              </w:rPr>
              <w:t>南京江北新区管理委员会生态环境和水务局</w:t>
            </w: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（以下简称甲方）</w:t>
            </w:r>
          </w:p>
        </w:tc>
        <w:tc>
          <w:tcPr>
            <w:tcW w:w="4850" w:type="dxa"/>
            <w:tcBorders>
              <w:tl2br w:val="nil"/>
              <w:tr2bl w:val="nil"/>
            </w:tcBorders>
            <w:vAlign w:val="top"/>
          </w:tcPr>
          <w:p w14:paraId="6AEC4C15">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560" w:lineRule="exact"/>
              <w:ind w:right="0"/>
              <w:contextualSpacing/>
              <w:jc w:val="left"/>
              <w:textAlignment w:val="auto"/>
              <w:outlineLvl w:val="9"/>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供应商</w:t>
            </w:r>
            <w:r>
              <w:rPr>
                <w:rFonts w:hint="default" w:ascii="Times New Roman" w:hAnsi="Times New Roman" w:eastAsia="方正仿宋_GBK" w:cs="Times New Roman"/>
                <w:color w:val="000000" w:themeColor="text1"/>
                <w:sz w:val="32"/>
                <w:szCs w:val="32"/>
                <w:highlight w:val="none"/>
                <w:lang w:val="zh-CN"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国检测试控股集团江苏京诚检测有限公司</w:t>
            </w:r>
            <w:r>
              <w:rPr>
                <w:rFonts w:hint="default" w:ascii="Times New Roman" w:hAnsi="Times New Roman" w:eastAsia="方正仿宋_GBK" w:cs="Times New Roman"/>
                <w:color w:val="000000" w:themeColor="text1"/>
                <w:sz w:val="32"/>
                <w:szCs w:val="32"/>
                <w:highlight w:val="none"/>
                <w:lang w:val="zh-CN" w:eastAsia="zh-CN"/>
                <w14:textFill>
                  <w14:solidFill>
                    <w14:schemeClr w14:val="tx1"/>
                  </w14:solidFill>
                </w14:textFill>
              </w:rPr>
              <w:t xml:space="preserve"> （以下简称乙方）</w:t>
            </w:r>
          </w:p>
        </w:tc>
      </w:tr>
      <w:tr w14:paraId="7963B84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0" w:type="dxa"/>
            <w:bottom w:w="0" w:type="dxa"/>
            <w:right w:w="0" w:type="dxa"/>
          </w:tblCellMar>
        </w:tblPrEx>
        <w:trPr>
          <w:jc w:val="center"/>
        </w:trPr>
        <w:tc>
          <w:tcPr>
            <w:tcW w:w="4850" w:type="dxa"/>
            <w:tcBorders>
              <w:tl2br w:val="nil"/>
              <w:tr2bl w:val="nil"/>
            </w:tcBorders>
            <w:vAlign w:val="top"/>
          </w:tcPr>
          <w:p w14:paraId="3E549285">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560" w:lineRule="exact"/>
              <w:ind w:left="0" w:right="0"/>
              <w:contextualSpacing/>
              <w:jc w:val="left"/>
              <w:textAlignment w:val="auto"/>
              <w:outlineLvl w:val="9"/>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eastAsia="zh-CN"/>
                <w14:textFill>
                  <w14:solidFill>
                    <w14:schemeClr w14:val="tx1"/>
                  </w14:solidFill>
                </w14:textFill>
              </w:rPr>
              <w:t xml:space="preserve"> 住所地：</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南京市浦口区天浦路28号1号楼</w:t>
            </w:r>
          </w:p>
        </w:tc>
        <w:tc>
          <w:tcPr>
            <w:tcW w:w="4850" w:type="dxa"/>
            <w:tcBorders>
              <w:tl2br w:val="nil"/>
              <w:tr2bl w:val="nil"/>
            </w:tcBorders>
            <w:vAlign w:val="top"/>
          </w:tcPr>
          <w:p w14:paraId="349FE138">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560" w:lineRule="exact"/>
              <w:ind w:left="0" w:right="0"/>
              <w:contextualSpacing/>
              <w:jc w:val="left"/>
              <w:textAlignment w:val="auto"/>
              <w:outlineLvl w:val="9"/>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eastAsia="zh-CN"/>
                <w14:textFill>
                  <w14:solidFill>
                    <w14:schemeClr w14:val="tx1"/>
                  </w14:solidFill>
                </w14:textFill>
              </w:rPr>
              <w:t>住所地：</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 xml:space="preserve"> 南京市雨花经济开发区龙腾南路9-1号 </w:t>
            </w:r>
          </w:p>
        </w:tc>
      </w:tr>
    </w:tbl>
    <w:p w14:paraId="5989B5BE">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根据《中华人民共和国民法典》等法律法规的规定，甲乙双方按照本项目磋商结果签订本合同。</w:t>
      </w:r>
    </w:p>
    <w:p w14:paraId="06586EEF">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contextualSpacing/>
        <w:textAlignment w:val="auto"/>
        <w:outlineLvl w:val="9"/>
        <w:rPr>
          <w:rFonts w:hint="default" w:ascii="Times New Roman" w:hAnsi="Times New Roman" w:eastAsia="方正仿宋_GBK" w:cs="Times New Roman"/>
          <w:b w:val="0"/>
          <w:bCs w:val="0"/>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zh-CN"/>
          <w14:textFill>
            <w14:solidFill>
              <w14:schemeClr w14:val="tx1"/>
            </w14:solidFill>
          </w14:textFill>
        </w:rPr>
        <w:t xml:space="preserve">第一条 合同标的 </w:t>
      </w:r>
      <w:r>
        <w:rPr>
          <w:rFonts w:hint="default" w:ascii="Times New Roman" w:hAnsi="Times New Roman" w:eastAsia="方正仿宋_GBK" w:cs="Times New Roman"/>
          <w:b w:val="0"/>
          <w:bCs w:val="0"/>
          <w:color w:val="000000" w:themeColor="text1"/>
          <w:sz w:val="32"/>
          <w:szCs w:val="32"/>
          <w:highlight w:val="none"/>
          <w:lang w:val="zh-CN"/>
          <w14:textFill>
            <w14:solidFill>
              <w14:schemeClr w14:val="tx1"/>
            </w14:solidFill>
          </w14:textFill>
        </w:rPr>
        <w:t>乙方根据甲方需要提供下列服务：</w:t>
      </w:r>
      <w:r>
        <w:rPr>
          <w:rFonts w:hint="default" w:ascii="Times New Roman" w:hAnsi="Times New Roman" w:eastAsia="方正仿宋_GBK" w:cs="Times New Roman"/>
          <w:b w:val="0"/>
          <w:bCs w:val="0"/>
          <w:color w:val="000000" w:themeColor="text1"/>
          <w:sz w:val="32"/>
          <w:szCs w:val="32"/>
          <w:highlight w:val="none"/>
          <w:u w:val="single"/>
          <w:lang w:val="zh-CN"/>
          <w14:textFill>
            <w14:solidFill>
              <w14:schemeClr w14:val="tx1"/>
            </w14:solidFill>
          </w14:textFill>
        </w:rPr>
        <w:t>2026年环境监测重点单位土壤和地下水周边监测项目</w:t>
      </w:r>
      <w:r>
        <w:rPr>
          <w:rFonts w:hint="default" w:ascii="Times New Roman" w:hAnsi="Times New Roman" w:eastAsia="方正仿宋_GBK" w:cs="Times New Roman"/>
          <w:b w:val="0"/>
          <w:bCs w:val="0"/>
          <w:color w:val="000000" w:themeColor="text1"/>
          <w:sz w:val="32"/>
          <w:szCs w:val="32"/>
          <w:highlight w:val="none"/>
          <w:lang w:val="zh-CN"/>
          <w14:textFill>
            <w14:solidFill>
              <w14:schemeClr w14:val="tx1"/>
            </w14:solidFill>
          </w14:textFill>
        </w:rPr>
        <w:t>（项目名称）</w:t>
      </w:r>
      <w:r>
        <w:rPr>
          <w:rFonts w:hint="default" w:ascii="Times New Roman" w:hAnsi="Times New Roman" w:eastAsia="方正仿宋_GBK" w:cs="Times New Roman"/>
          <w:b w:val="0"/>
          <w:bCs w:val="0"/>
          <w:color w:val="000000" w:themeColor="text1"/>
          <w:sz w:val="32"/>
          <w:szCs w:val="32"/>
          <w:highlight w:val="none"/>
          <w:u w:val="single"/>
          <w:lang w:val="zh-CN"/>
          <w14:textFill>
            <w14:solidFill>
              <w14:schemeClr w14:val="tx1"/>
            </w14:solidFill>
          </w14:textFill>
        </w:rPr>
        <w:t>JBST-JSJT-202603</w:t>
      </w:r>
      <w:r>
        <w:rPr>
          <w:rFonts w:hint="default" w:ascii="Times New Roman" w:hAnsi="Times New Roman" w:eastAsia="方正仿宋_GBK" w:cs="Times New Roman"/>
          <w:b w:val="0"/>
          <w:bCs w:val="0"/>
          <w:color w:val="000000" w:themeColor="text1"/>
          <w:sz w:val="32"/>
          <w:szCs w:val="32"/>
          <w:highlight w:val="none"/>
          <w:lang w:val="zh-CN"/>
          <w14:textFill>
            <w14:solidFill>
              <w14:schemeClr w14:val="tx1"/>
            </w14:solidFill>
          </w14:textFill>
        </w:rPr>
        <w:t>（项目编号），</w:t>
      </w:r>
      <w:r>
        <w:rPr>
          <w:rFonts w:hint="eastAsia"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服务内容</w:t>
      </w:r>
      <w:r>
        <w:rPr>
          <w:rFonts w:hint="default" w:ascii="Times New Roman" w:hAnsi="Times New Roman" w:eastAsia="方正仿宋_GBK" w:cs="Times New Roman"/>
          <w:b w:val="0"/>
          <w:bCs w:val="0"/>
          <w:color w:val="000000" w:themeColor="text1"/>
          <w:sz w:val="32"/>
          <w:szCs w:val="32"/>
          <w:highlight w:val="none"/>
          <w:lang w:val="zh-CN"/>
          <w14:textFill>
            <w14:solidFill>
              <w14:schemeClr w14:val="tx1"/>
            </w14:solidFill>
          </w14:textFill>
        </w:rPr>
        <w:t>详见乙方响应文件。</w:t>
      </w:r>
    </w:p>
    <w:p w14:paraId="398A2AE1">
      <w:pPr>
        <w:keepNext w:val="0"/>
        <w:keepLines w:val="0"/>
        <w:pageBreakBefore w:val="0"/>
        <w:widowControl w:val="0"/>
        <w:kinsoku/>
        <w:wordWrap/>
        <w:overflowPunct/>
        <w:topLinePunct w:val="0"/>
        <w:bidi w:val="0"/>
        <w:adjustRightInd/>
        <w:snapToGrid/>
        <w:spacing w:line="560" w:lineRule="exact"/>
        <w:ind w:firstLine="643" w:firstLineChars="200"/>
        <w:textAlignment w:val="auto"/>
        <w:outlineLvl w:val="9"/>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zh-CN"/>
          <w14:textFill>
            <w14:solidFill>
              <w14:schemeClr w14:val="tx1"/>
            </w14:solidFill>
          </w14:textFill>
        </w:rPr>
        <w:t xml:space="preserve">第二条 合同总价款 </w:t>
      </w: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本合同项下合同总价款为人民币</w:t>
      </w:r>
      <w:r>
        <w:rPr>
          <w:rFonts w:hint="default" w:ascii="Times New Roman" w:hAnsi="Times New Roman" w:eastAsia="方正仿宋_GBK" w:cs="Times New Roman"/>
          <w:color w:val="000000" w:themeColor="text1"/>
          <w:sz w:val="32"/>
          <w:szCs w:val="32"/>
          <w:highlight w:val="none"/>
          <w:u w:val="single"/>
          <w:lang w:val="zh-CN"/>
          <w14:textFill>
            <w14:solidFill>
              <w14:schemeClr w14:val="tx1"/>
            </w14:solidFill>
          </w14:textFill>
        </w:rPr>
        <w:t>（大写：</w:t>
      </w:r>
      <w:r>
        <w:rPr>
          <w:rFonts w:hint="default" w:ascii="Times New Roman" w:hAnsi="Times New Roman" w:eastAsia="方正仿宋_GBK" w:cs="Times New Roman"/>
          <w:color w:val="000000" w:themeColor="text1"/>
          <w:sz w:val="32"/>
          <w:szCs w:val="32"/>
          <w:highlight w:val="none"/>
          <w:u w:val="single"/>
          <w:lang w:val="en-US" w:eastAsia="zh-CN"/>
          <w14:textFill>
            <w14:solidFill>
              <w14:schemeClr w14:val="tx1"/>
            </w14:solidFill>
          </w14:textFill>
        </w:rPr>
        <w:t>贰拾柒万玖仟</w:t>
      </w:r>
      <w:r>
        <w:rPr>
          <w:rFonts w:hint="default" w:ascii="Times New Roman" w:hAnsi="Times New Roman" w:eastAsia="方正仿宋_GBK" w:cs="Times New Roman"/>
          <w:color w:val="000000" w:themeColor="text1"/>
          <w:sz w:val="32"/>
          <w:szCs w:val="32"/>
          <w:highlight w:val="none"/>
          <w:u w:val="single"/>
          <w:lang w:val="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元（¥</w:t>
      </w:r>
      <w:r>
        <w:rPr>
          <w:rFonts w:hint="default" w:ascii="Times New Roman" w:hAnsi="Times New Roman" w:eastAsia="方正仿宋_GBK" w:cs="Times New Roman"/>
          <w:color w:val="000000" w:themeColor="text1"/>
          <w:sz w:val="32"/>
          <w:szCs w:val="32"/>
          <w:highlight w:val="none"/>
          <w:u w:val="single"/>
          <w:lang w:val="zh-CN"/>
          <w14:textFill>
            <w14:solidFill>
              <w14:schemeClr w14:val="tx1"/>
            </w14:solidFill>
          </w14:textFill>
        </w:rPr>
        <w:t xml:space="preserve"> </w:t>
      </w:r>
      <w:r>
        <w:rPr>
          <w:rFonts w:hint="default" w:ascii="Times New Roman" w:hAnsi="Times New Roman" w:eastAsia="方正仿宋_GBK" w:cs="Times New Roman"/>
          <w:color w:val="000000" w:themeColor="text1"/>
          <w:sz w:val="32"/>
          <w:szCs w:val="32"/>
          <w:highlight w:val="none"/>
          <w:u w:val="single"/>
          <w:lang w:val="en-US" w:eastAsia="zh-CN"/>
          <w14:textFill>
            <w14:solidFill>
              <w14:schemeClr w14:val="tx1"/>
            </w14:solidFill>
          </w14:textFill>
        </w:rPr>
        <w:t>279000.00</w:t>
      </w:r>
      <w:r>
        <w:rPr>
          <w:rFonts w:hint="default" w:ascii="Times New Roman" w:hAnsi="Times New Roman" w:eastAsia="方正仿宋_GBK" w:cs="Times New Roman"/>
          <w:color w:val="000000" w:themeColor="text1"/>
          <w:sz w:val="32"/>
          <w:szCs w:val="32"/>
          <w:highlight w:val="none"/>
          <w:u w:val="single"/>
          <w:lang w:val="zh-CN"/>
          <w14:textFill>
            <w14:solidFill>
              <w14:schemeClr w14:val="tx1"/>
            </w14:solidFill>
          </w14:textFill>
        </w:rPr>
        <w:t xml:space="preserve"> （小写）</w:t>
      </w: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元）</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p>
    <w:p w14:paraId="7D01A2D0">
      <w:pPr>
        <w:keepNext w:val="0"/>
        <w:keepLines w:val="0"/>
        <w:pageBreakBefore w:val="0"/>
        <w:widowControl w:val="0"/>
        <w:kinsoku/>
        <w:wordWrap/>
        <w:overflowPunct/>
        <w:topLinePunct w:val="0"/>
        <w:bidi w:val="0"/>
        <w:adjustRightInd/>
        <w:snapToGrid/>
        <w:spacing w:line="560" w:lineRule="exact"/>
        <w:ind w:firstLine="640" w:firstLineChars="200"/>
        <w:contextualSpacing/>
        <w:textAlignment w:val="auto"/>
        <w:outlineLvl w:val="9"/>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本合同价款是</w:t>
      </w: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完成本项目所发生的所有含税费用、支付给员工的工资和国家强制缴纳的各种社会保障资金</w:t>
      </w:r>
      <w:r>
        <w:rPr>
          <w:rFonts w:hint="default" w:ascii="Times New Roman" w:hAnsi="Times New Roman" w:eastAsia="方正仿宋_GBK" w:cs="Times New Roman"/>
          <w:bCs/>
          <w:color w:val="000000" w:themeColor="text1"/>
          <w:sz w:val="32"/>
          <w:szCs w:val="32"/>
          <w:highlight w:val="none"/>
          <w14:textFill>
            <w14:solidFill>
              <w14:schemeClr w14:val="tx1"/>
            </w14:solidFill>
          </w14:textFill>
        </w:rPr>
        <w:t>，以</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及</w:t>
      </w: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乙方</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认为需要的其他费用等</w:t>
      </w: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包括但不限于</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完成本项目的方案编制费、报告编制费、资料搜集和工作例会费、项目评审费、监测费、各项调查费、燃动费、管理及人员费、专家咨询及会务费以及应由供应商支付的规费及税金等一切费用、后期修订方案、报告所需的费用。</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除合同约定的价款外，甲方不再需向</w:t>
      </w: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乙方</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支付其他任何费用。</w:t>
      </w:r>
      <w:r>
        <w:rPr>
          <w:rFonts w:hint="default" w:ascii="Times New Roman" w:hAnsi="Times New Roman" w:eastAsia="方正仿宋_GBK" w:cs="Times New Roman"/>
          <w:b w:val="0"/>
          <w:bCs w:val="0"/>
          <w:color w:val="000000"/>
          <w:sz w:val="32"/>
          <w:szCs w:val="32"/>
          <w:highlight w:val="none"/>
        </w:rPr>
        <w:t>本合同执行期间合同总价款不变。</w:t>
      </w:r>
    </w:p>
    <w:p w14:paraId="095A9D32">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contextualSpacing/>
        <w:textAlignment w:val="auto"/>
        <w:outlineLvl w:val="9"/>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zh-CN"/>
          <w14:textFill>
            <w14:solidFill>
              <w14:schemeClr w14:val="tx1"/>
            </w14:solidFill>
          </w14:textFill>
        </w:rPr>
        <w:t>第三条组成本合同的有关文件</w:t>
      </w: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下列关于</w:t>
      </w:r>
      <w:r>
        <w:rPr>
          <w:rFonts w:hint="default" w:ascii="Times New Roman" w:hAnsi="Times New Roman" w:eastAsia="方正仿宋_GBK" w:cs="Times New Roman"/>
          <w:b/>
          <w:bCs/>
          <w:color w:val="000000" w:themeColor="text1"/>
          <w:sz w:val="32"/>
          <w:szCs w:val="32"/>
          <w:highlight w:val="none"/>
          <w:u w:val="single"/>
          <w:lang w:val="zh-CN"/>
          <w14:textFill>
            <w14:solidFill>
              <w14:schemeClr w14:val="tx1"/>
            </w14:solidFill>
          </w14:textFill>
        </w:rPr>
        <w:t>JBST-JSJT-202603</w:t>
      </w:r>
      <w:r>
        <w:rPr>
          <w:rFonts w:hint="default" w:ascii="Times New Roman" w:hAnsi="Times New Roman" w:eastAsia="方正仿宋_GBK" w:cs="Times New Roman"/>
          <w:color w:val="000000" w:themeColor="text1"/>
          <w:sz w:val="32"/>
          <w:szCs w:val="32"/>
          <w:highlight w:val="none"/>
          <w:u w:val="single"/>
          <w:lang w:val="zh-CN"/>
          <w14:textFill>
            <w14:solidFill>
              <w14:schemeClr w14:val="tx1"/>
            </w14:solidFill>
          </w14:textFill>
        </w:rPr>
        <w:t>号</w:t>
      </w: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的竞争性磋商文件、供应商响应文件，或与本次采购活动方式相适应的文件，以及有关附件是本合同不可分割的组成部分，与本合同具有同等法律效力，这些文件包括但不限于：</w:t>
      </w:r>
    </w:p>
    <w:p w14:paraId="25651CB3">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（1）乙方提供的响应文件和报价表；</w:t>
      </w:r>
    </w:p>
    <w:p w14:paraId="43EB0A3A">
      <w:pPr>
        <w:pageBreakBefore w:val="0"/>
        <w:kinsoku/>
        <w:wordWrap/>
        <w:overflowPunct/>
        <w:topLinePunct w:val="0"/>
        <w:autoSpaceDE w:val="0"/>
        <w:autoSpaceDN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（2）技术规格响应表；</w:t>
      </w:r>
    </w:p>
    <w:p w14:paraId="57D4EAEE">
      <w:pPr>
        <w:pageBreakBefore w:val="0"/>
        <w:kinsoku/>
        <w:wordWrap/>
        <w:overflowPunct/>
        <w:topLinePunct w:val="0"/>
        <w:autoSpaceDE w:val="0"/>
        <w:autoSpaceDN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（3）磋商承诺/服务承诺；</w:t>
      </w:r>
    </w:p>
    <w:p w14:paraId="14CF0425">
      <w:pPr>
        <w:pageBreakBefore w:val="0"/>
        <w:kinsoku/>
        <w:wordWrap/>
        <w:overflowPunct/>
        <w:topLinePunct w:val="0"/>
        <w:autoSpaceDE w:val="0"/>
        <w:autoSpaceDN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（4）成交通知书；</w:t>
      </w:r>
    </w:p>
    <w:p w14:paraId="4CA2F110">
      <w:pPr>
        <w:pageBreakBefore w:val="0"/>
        <w:kinsoku/>
        <w:wordWrap/>
        <w:overflowPunct/>
        <w:topLinePunct w:val="0"/>
        <w:autoSpaceDE w:val="0"/>
        <w:autoSpaceDN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（5）甲乙双方商定的其他文件等。</w:t>
      </w:r>
    </w:p>
    <w:p w14:paraId="7BBC573F">
      <w:pPr>
        <w:pageBreakBefore w:val="0"/>
        <w:kinsoku/>
        <w:wordWrap/>
        <w:overflowPunct/>
        <w:topLinePunct w:val="0"/>
        <w:autoSpaceDE w:val="0"/>
        <w:autoSpaceDN w:val="0"/>
        <w:bidi w:val="0"/>
        <w:adjustRightInd/>
        <w:snapToGrid/>
        <w:spacing w:line="560" w:lineRule="exact"/>
        <w:ind w:firstLine="643" w:firstLineChars="200"/>
        <w:contextualSpacing/>
        <w:jc w:val="left"/>
        <w:textAlignment w:val="auto"/>
        <w:outlineLvl w:val="9"/>
        <w:rPr>
          <w:rFonts w:hint="default" w:ascii="Times New Roman" w:hAnsi="Times New Roman" w:eastAsia="方正仿宋_GBK" w:cs="Times New Roman"/>
          <w:b/>
          <w:bCs/>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zh-CN"/>
          <w14:textFill>
            <w14:solidFill>
              <w14:schemeClr w14:val="tx1"/>
            </w14:solidFill>
          </w14:textFill>
        </w:rPr>
        <w:t>第四条权利保证</w:t>
      </w:r>
    </w:p>
    <w:p w14:paraId="3F1A8056">
      <w:pPr>
        <w:pageBreakBefore w:val="0"/>
        <w:kinsoku/>
        <w:wordWrap/>
        <w:overflowPunct/>
        <w:topLinePunct w:val="0"/>
        <w:autoSpaceDE w:val="0"/>
        <w:autoSpaceDN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1、乙方应保证甲乙双方在使用该服务或其任何一部分时不受第三方提出侵犯其专利权、版权、商标权或其他权利的起诉。一旦出现侵权起诉或索赔，由乙方负责抗辩，并承担甲方维权产生的诉讼费、律师费、差旅费等，给甲方造成其他损失的，全部由乙方承担。若构成侵权的，甲方有权单方终止本合同，乙方应退还甲方已支付的合同款。</w:t>
      </w:r>
    </w:p>
    <w:p w14:paraId="3BD18A5D">
      <w:pPr>
        <w:pageBreakBefore w:val="0"/>
        <w:kinsoku/>
        <w:wordWrap/>
        <w:overflowPunct/>
        <w:topLinePunct w:val="0"/>
        <w:autoSpaceDE w:val="0"/>
        <w:autoSpaceDN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2、有关本项目的各项技术资料与数据，乙方有保密义务，未经甲方同意，不得外泄给第三方。若乙方违反上述规定，甲方有权解除合同，解除合同的通知自到达乙方时生效，且乙方应向甲方支付合同总价款30%的违约金。</w:t>
      </w:r>
    </w:p>
    <w:p w14:paraId="6BA7EB9C">
      <w:pPr>
        <w:pageBreakBefore w:val="0"/>
        <w:kinsoku/>
        <w:wordWrap/>
        <w:overflowPunct/>
        <w:topLinePunct w:val="0"/>
        <w:autoSpaceDE w:val="0"/>
        <w:autoSpaceDN w:val="0"/>
        <w:bidi w:val="0"/>
        <w:adjustRightInd/>
        <w:snapToGrid/>
        <w:spacing w:line="560" w:lineRule="exact"/>
        <w:ind w:firstLine="643" w:firstLineChars="200"/>
        <w:contextualSpacing/>
        <w:jc w:val="left"/>
        <w:textAlignment w:val="auto"/>
        <w:outlineLvl w:val="9"/>
        <w:rPr>
          <w:rFonts w:hint="default" w:ascii="Times New Roman" w:hAnsi="Times New Roman" w:eastAsia="方正仿宋_GBK" w:cs="Times New Roman"/>
          <w:b/>
          <w:bCs/>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zh-CN"/>
          <w14:textFill>
            <w14:solidFill>
              <w14:schemeClr w14:val="tx1"/>
            </w14:solidFill>
          </w14:textFill>
        </w:rPr>
        <w:t>第五条质量保证</w:t>
      </w:r>
    </w:p>
    <w:p w14:paraId="12D6A94B">
      <w:pPr>
        <w:pageBreakBefore w:val="0"/>
        <w:kinsoku/>
        <w:wordWrap/>
        <w:overflowPunct/>
        <w:topLinePunct w:val="0"/>
        <w:autoSpaceDE w:val="0"/>
        <w:autoSpaceDN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乙方所提供的服务的技术规格应与采购文件规定的技术规格及所附的“技术条款偏离表”相一致；若技术性能无特殊说明，则按国家有关部门最新颁布的标准及规范为准。</w:t>
      </w:r>
    </w:p>
    <w:p w14:paraId="7B6926F7">
      <w:pPr>
        <w:pageBreakBefore w:val="0"/>
        <w:kinsoku/>
        <w:wordWrap/>
        <w:overflowPunct/>
        <w:topLinePunct w:val="0"/>
        <w:autoSpaceDE w:val="0"/>
        <w:autoSpaceDN w:val="0"/>
        <w:bidi w:val="0"/>
        <w:adjustRightInd/>
        <w:snapToGrid/>
        <w:spacing w:line="560" w:lineRule="exact"/>
        <w:ind w:firstLine="643" w:firstLineChars="200"/>
        <w:contextualSpacing/>
        <w:jc w:val="left"/>
        <w:textAlignment w:val="auto"/>
        <w:outlineLvl w:val="9"/>
        <w:rPr>
          <w:rFonts w:hint="default" w:ascii="Times New Roman" w:hAnsi="Times New Roman" w:eastAsia="方正仿宋_GBK" w:cs="Times New Roman"/>
          <w:b/>
          <w:bCs/>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zh-CN"/>
          <w14:textFill>
            <w14:solidFill>
              <w14:schemeClr w14:val="tx1"/>
            </w14:solidFill>
          </w14:textFill>
        </w:rPr>
        <w:t>第六条交付和验收</w:t>
      </w:r>
    </w:p>
    <w:p w14:paraId="68AE405D">
      <w:pPr>
        <w:pageBreakBefore w:val="0"/>
        <w:kinsoku/>
        <w:wordWrap/>
        <w:overflowPunct/>
        <w:topLinePunct w:val="0"/>
        <w:autoSpaceDE w:val="0"/>
        <w:autoSpaceDN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1.合同履行期限：</w:t>
      </w:r>
      <w:r>
        <w:rPr>
          <w:rFonts w:hint="default" w:ascii="Times New Roman" w:hAnsi="Times New Roman" w:eastAsia="方正仿宋_GBK" w:cs="Times New Roman"/>
          <w:color w:val="000000" w:themeColor="text1"/>
          <w:kern w:val="0"/>
          <w:sz w:val="32"/>
          <w:szCs w:val="32"/>
          <w:highlight w:val="none"/>
          <w:u w:val="single"/>
          <w:lang w:val="zh-CN"/>
          <w14:textFill>
            <w14:solidFill>
              <w14:schemeClr w14:val="tx1"/>
            </w14:solidFill>
          </w14:textFill>
        </w:rPr>
        <w:t>在2026年11月30日前，完成合同约束相关地块的全部采样、报告编制，并上报南京江北新区管理委员会生态环境和水务局（具体以采购人要求为准）</w:t>
      </w: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w:t>
      </w:r>
    </w:p>
    <w:p w14:paraId="6737FFB5">
      <w:pPr>
        <w:pageBreakBefore w:val="0"/>
        <w:kinsoku/>
        <w:wordWrap/>
        <w:overflowPunct/>
        <w:topLinePunct w:val="0"/>
        <w:autoSpaceDE w:val="0"/>
        <w:autoSpaceDN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sz w:val="32"/>
          <w:szCs w:val="32"/>
          <w:highlight w:val="none"/>
          <w:u w:val="single"/>
          <w:lang w:val="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2、验收标准：</w:t>
      </w:r>
      <w:r>
        <w:rPr>
          <w:rFonts w:hint="eastAsia" w:eastAsia="方正仿宋_GBK" w:cs="Times New Roman"/>
          <w:sz w:val="32"/>
          <w:szCs w:val="32"/>
          <w:highlight w:val="none"/>
          <w:lang w:val="en-US" w:eastAsia="zh-CN"/>
        </w:rPr>
        <w:t>项目交付需经甲方组织验收，</w:t>
      </w:r>
      <w:r>
        <w:rPr>
          <w:rFonts w:hint="default" w:ascii="Times New Roman" w:hAnsi="Times New Roman" w:eastAsia="方正仿宋_GBK" w:cs="Times New Roman"/>
          <w:color w:val="000000"/>
          <w:kern w:val="0"/>
          <w:sz w:val="32"/>
          <w:szCs w:val="32"/>
          <w:highlight w:val="none"/>
        </w:rPr>
        <w:t>验收标准</w:t>
      </w:r>
      <w:r>
        <w:rPr>
          <w:rFonts w:hint="eastAsia" w:eastAsia="方正仿宋_GBK" w:cs="Times New Roman"/>
          <w:color w:val="000000"/>
          <w:kern w:val="0"/>
          <w:sz w:val="32"/>
          <w:szCs w:val="32"/>
          <w:highlight w:val="none"/>
          <w:lang w:val="en-US" w:eastAsia="zh-CN"/>
        </w:rPr>
        <w:t>按行业通行标准、招标文件要求、乙方招标文件的承诺（不低于国家相关标准），上述标准如不完全一致，以最严格之标准执行</w:t>
      </w:r>
      <w:r>
        <w:rPr>
          <w:rFonts w:hint="default" w:ascii="Times New Roman" w:hAnsi="Times New Roman" w:eastAsia="方正仿宋_GBK" w:cs="Times New Roman"/>
          <w:sz w:val="32"/>
          <w:szCs w:val="32"/>
          <w:highlight w:val="none"/>
        </w:rPr>
        <w:t>。</w:t>
      </w:r>
    </w:p>
    <w:p w14:paraId="49685EA2">
      <w:pPr>
        <w:pageBreakBefore w:val="0"/>
        <w:kinsoku/>
        <w:wordWrap/>
        <w:overflowPunct/>
        <w:topLinePunct w:val="0"/>
        <w:autoSpaceDE w:val="0"/>
        <w:autoSpaceDN w:val="0"/>
        <w:bidi w:val="0"/>
        <w:adjustRightInd/>
        <w:snapToGrid/>
        <w:spacing w:line="560" w:lineRule="exact"/>
        <w:ind w:firstLine="643" w:firstLineChars="200"/>
        <w:contextualSpacing/>
        <w:jc w:val="left"/>
        <w:textAlignment w:val="auto"/>
        <w:outlineLvl w:val="9"/>
        <w:rPr>
          <w:rFonts w:hint="default" w:ascii="Times New Roman" w:hAnsi="Times New Roman" w:eastAsia="方正仿宋_GBK" w:cs="Times New Roman"/>
          <w:b/>
          <w:bCs/>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zh-CN"/>
          <w14:textFill>
            <w14:solidFill>
              <w14:schemeClr w14:val="tx1"/>
            </w14:solidFill>
          </w14:textFill>
        </w:rPr>
        <w:t>第七条履约保证金</w:t>
      </w:r>
    </w:p>
    <w:p w14:paraId="010D3F85">
      <w:pPr>
        <w:pageBreakBefore w:val="0"/>
        <w:kinsoku/>
        <w:wordWrap/>
        <w:overflowPunct/>
        <w:topLinePunct w:val="0"/>
        <w:autoSpaceDE w:val="0"/>
        <w:autoSpaceDN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1、本项目无需提供履约保证金。</w:t>
      </w:r>
    </w:p>
    <w:p w14:paraId="77C90707">
      <w:pPr>
        <w:pageBreakBefore w:val="0"/>
        <w:kinsoku/>
        <w:wordWrap/>
        <w:overflowPunct/>
        <w:topLinePunct w:val="0"/>
        <w:autoSpaceDE w:val="0"/>
        <w:autoSpaceDN w:val="0"/>
        <w:bidi w:val="0"/>
        <w:adjustRightInd/>
        <w:snapToGrid/>
        <w:spacing w:line="560" w:lineRule="exact"/>
        <w:ind w:firstLine="643" w:firstLineChars="200"/>
        <w:contextualSpacing/>
        <w:jc w:val="left"/>
        <w:textAlignment w:val="auto"/>
        <w:outlineLvl w:val="9"/>
        <w:rPr>
          <w:rFonts w:hint="default" w:ascii="Times New Roman" w:hAnsi="Times New Roman" w:eastAsia="方正仿宋_GBK" w:cs="Times New Roman"/>
          <w:b/>
          <w:bCs/>
          <w:i/>
          <w:iCs/>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zh-CN"/>
          <w14:textFill>
            <w14:solidFill>
              <w14:schemeClr w14:val="tx1"/>
            </w14:solidFill>
          </w14:textFill>
        </w:rPr>
        <w:t>第八条合同款支付</w:t>
      </w:r>
    </w:p>
    <w:p w14:paraId="1F50CC7E">
      <w:pPr>
        <w:pageBreakBefore w:val="0"/>
        <w:kinsoku/>
        <w:wordWrap/>
        <w:overflowPunct/>
        <w:topLinePunct w:val="0"/>
        <w:autoSpaceDE w:val="0"/>
        <w:autoSpaceDN w:val="0"/>
        <w:bidi w:val="0"/>
        <w:adjustRightInd/>
        <w:snapToGrid/>
        <w:spacing w:line="560" w:lineRule="exact"/>
        <w:ind w:firstLine="640" w:firstLineChars="200"/>
        <w:jc w:val="left"/>
        <w:textAlignment w:val="auto"/>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1、本合同项下所有款项均以人民币支付。</w:t>
      </w:r>
    </w:p>
    <w:p w14:paraId="5AF00845">
      <w:pPr>
        <w:pageBreakBefore w:val="0"/>
        <w:kinsoku/>
        <w:wordWrap/>
        <w:overflowPunct/>
        <w:topLinePunct w:val="0"/>
        <w:autoSpaceDE w:val="0"/>
        <w:autoSpaceDN w:val="0"/>
        <w:bidi w:val="0"/>
        <w:adjustRightInd/>
        <w:snapToGrid/>
        <w:spacing w:line="560" w:lineRule="exact"/>
        <w:ind w:firstLine="640" w:firstLineChars="200"/>
        <w:jc w:val="left"/>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14:textFill>
            <w14:solidFill>
              <w14:schemeClr w14:val="tx1"/>
            </w14:solidFill>
          </w14:textFill>
        </w:rPr>
        <w:t>2、本合同项下的采购资金由国库集中支付或甲方自行支付，</w:t>
      </w:r>
      <w:r>
        <w:rPr>
          <w:rFonts w:hint="default" w:ascii="Times New Roman" w:hAnsi="Times New Roman" w:eastAsia="方正仿宋_GBK" w:cs="Times New Roman"/>
          <w:color w:val="000000" w:themeColor="text1"/>
          <w:sz w:val="32"/>
          <w:szCs w:val="32"/>
          <w:highlight w:val="none"/>
          <w:lang w:eastAsia="en-US"/>
          <w14:textFill>
            <w14:solidFill>
              <w14:schemeClr w14:val="tx1"/>
            </w14:solidFill>
          </w14:textFill>
        </w:rPr>
        <w:t>甲方付款前，乙方应按各期付款数额以及甲方的要求向甲方开具符合国家法律法规和标准的发票，乙方不开具发票或开具不合格的，甲方有权迟延支付应付款项直至乙方开具合格票据之日且不承担任何违约责任，且乙方的各项合同义务仍应按合同约定履行。</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若因政府财政部门审批导致支付延迟，甲方不承担延迟支付责任。</w:t>
      </w:r>
    </w:p>
    <w:p w14:paraId="7380EE35">
      <w:pPr>
        <w:keepNext w:val="0"/>
        <w:keepLines w:val="0"/>
        <w:pageBreakBefore w:val="0"/>
        <w:widowControl w:val="0"/>
        <w:kinsoku/>
        <w:wordWrap/>
        <w:overflowPunct/>
        <w:topLinePunct w:val="0"/>
        <w:bidi w:val="0"/>
        <w:adjustRightInd/>
        <w:snapToGrid/>
        <w:spacing w:line="560" w:lineRule="exact"/>
        <w:ind w:firstLine="643" w:firstLineChars="200"/>
        <w:textAlignment w:val="auto"/>
        <w:rPr>
          <w:rFonts w:hint="eastAsia" w:ascii="Times New Roman" w:hAnsi="Times New Roman" w:eastAsia="方正仿宋_GBK" w:cs="Times New Roman"/>
          <w:b w:val="0"/>
          <w:bCs w:val="0"/>
          <w:color w:val="000000" w:themeColor="text1"/>
          <w:sz w:val="32"/>
          <w:szCs w:val="32"/>
          <w:highlight w:val="none"/>
          <w:lang w:val="zh-CN" w:eastAsia="zh-CN"/>
          <w14:textFill>
            <w14:solidFill>
              <w14:schemeClr w14:val="tx1"/>
            </w14:solidFill>
          </w14:textFill>
        </w:rPr>
      </w:pPr>
      <w:r>
        <w:rPr>
          <w:rFonts w:hint="default" w:ascii="Times New Roman" w:hAnsi="Times New Roman" w:eastAsia="方正仿宋_GBK" w:cs="Times New Roman"/>
          <w:b/>
          <w:color w:val="000000" w:themeColor="text1"/>
          <w:sz w:val="32"/>
          <w:szCs w:val="32"/>
          <w:highlight w:val="none"/>
          <w:lang w:val="zh-CN"/>
          <w14:textFill>
            <w14:solidFill>
              <w14:schemeClr w14:val="tx1"/>
            </w14:solidFill>
          </w14:textFill>
        </w:rPr>
        <w:t>3、付款条件：</w:t>
      </w:r>
      <w:r>
        <w:rPr>
          <w:rFonts w:hint="eastAsia" w:eastAsia="方正仿宋_GBK" w:cs="Times New Roman"/>
          <w:color w:val="000000" w:themeColor="text1"/>
          <w:sz w:val="32"/>
          <w:szCs w:val="32"/>
          <w:highlight w:val="none"/>
          <w:lang w:eastAsia="zh-CN"/>
          <w14:textFill>
            <w14:solidFill>
              <w14:schemeClr w14:val="tx1"/>
            </w14:solidFill>
          </w14:textFill>
        </w:rPr>
        <w:t>合同签订后，甲方向乙方支付合同总价的</w:t>
      </w:r>
      <w:r>
        <w:rPr>
          <w:rFonts w:hint="eastAsia" w:eastAsia="方正仿宋_GBK" w:cs="Times New Roman"/>
          <w:color w:val="000000" w:themeColor="text1"/>
          <w:sz w:val="32"/>
          <w:szCs w:val="32"/>
          <w:highlight w:val="none"/>
          <w:lang w:val="en-US" w:eastAsia="zh-CN"/>
          <w14:textFill>
            <w14:solidFill>
              <w14:schemeClr w14:val="tx1"/>
            </w14:solidFill>
          </w14:textFill>
        </w:rPr>
        <w:t>50%作为首付款；</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完成</w:t>
      </w:r>
      <w:r>
        <w:rPr>
          <w:rFonts w:hint="eastAsia" w:eastAsia="方正仿宋_GBK" w:cs="Times New Roman"/>
          <w:color w:val="000000" w:themeColor="text1"/>
          <w:sz w:val="32"/>
          <w:szCs w:val="32"/>
          <w:highlight w:val="none"/>
          <w:lang w:val="en-US" w:eastAsia="zh-CN"/>
          <w14:textFill>
            <w14:solidFill>
              <w14:schemeClr w14:val="tx1"/>
            </w14:solidFill>
          </w14:textFill>
        </w:rPr>
        <w:t>重点企业土壤和地下水</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周边监测方案</w:t>
      </w:r>
      <w:r>
        <w:rPr>
          <w:rFonts w:hint="eastAsia" w:eastAsia="方正仿宋_GBK" w:cs="Times New Roman"/>
          <w:color w:val="000000" w:themeColor="text1"/>
          <w:sz w:val="32"/>
          <w:szCs w:val="32"/>
          <w:highlight w:val="none"/>
          <w:lang w:val="en-US" w:eastAsia="zh-CN"/>
          <w14:textFill>
            <w14:solidFill>
              <w14:schemeClr w14:val="tx1"/>
            </w14:solidFill>
          </w14:textFill>
        </w:rPr>
        <w:t>、隐患排查整改合格率核算</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并通过专家评审</w:t>
      </w:r>
      <w:r>
        <w:rPr>
          <w:rFonts w:hint="eastAsia" w:eastAsia="方正仿宋_GBK"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支付</w:t>
      </w:r>
      <w:r>
        <w:rPr>
          <w:rFonts w:hint="eastAsia" w:eastAsia="方正仿宋_GBK" w:cs="Times New Roman"/>
          <w:color w:val="000000" w:themeColor="text1"/>
          <w:sz w:val="32"/>
          <w:szCs w:val="32"/>
          <w:highlight w:val="none"/>
          <w:lang w:eastAsia="zh-CN"/>
          <w14:textFill>
            <w14:solidFill>
              <w14:schemeClr w14:val="tx1"/>
            </w14:solidFill>
          </w14:textFill>
        </w:rPr>
        <w:t>剩余合同</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价款的50%</w:t>
      </w:r>
      <w:r>
        <w:rPr>
          <w:rFonts w:hint="eastAsia" w:eastAsia="方正仿宋_GBK" w:cs="Times New Roman"/>
          <w:color w:val="000000" w:themeColor="text1"/>
          <w:sz w:val="32"/>
          <w:szCs w:val="32"/>
          <w:highlight w:val="none"/>
          <w:lang w:eastAsia="zh-CN"/>
          <w14:textFill>
            <w14:solidFill>
              <w14:schemeClr w14:val="tx1"/>
            </w14:solidFill>
          </w14:textFill>
        </w:rPr>
        <w:t>。</w:t>
      </w:r>
    </w:p>
    <w:p w14:paraId="3866D101">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contextualSpacing/>
        <w:jc w:val="left"/>
        <w:textAlignment w:val="auto"/>
        <w:outlineLvl w:val="9"/>
        <w:rPr>
          <w:rFonts w:hint="default" w:ascii="Times New Roman" w:hAnsi="Times New Roman" w:eastAsia="方正仿宋_GBK" w:cs="Times New Roman"/>
          <w:b/>
          <w:bCs/>
          <w:color w:val="000000" w:themeColor="text1"/>
          <w:sz w:val="32"/>
          <w:szCs w:val="32"/>
          <w:highlight w:val="none"/>
          <w:lang w:val="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zh-CN"/>
          <w14:textFill>
            <w14:solidFill>
              <w14:schemeClr w14:val="tx1"/>
            </w14:solidFill>
          </w14:textFill>
        </w:rPr>
        <w:t>第九条违约责任</w:t>
      </w:r>
    </w:p>
    <w:p w14:paraId="388D40C9">
      <w:pPr>
        <w:keepNext w:val="0"/>
        <w:keepLines w:val="0"/>
        <w:pageBreakBefore w:val="0"/>
        <w:widowControl w:val="0"/>
        <w:kinsoku/>
        <w:wordWrap/>
        <w:overflowPunct/>
        <w:topLinePunct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1、乙方逾期交付的，每逾期1天，乙方向甲方偿付合同总额的5‰的违约金。如乙方逾期交付达10天，甲方有权解除合同，解除合同的通知自到达乙方时生效。</w:t>
      </w:r>
    </w:p>
    <w:p w14:paraId="2DB5624D">
      <w:pPr>
        <w:pageBreakBefore w:val="0"/>
        <w:widowControl/>
        <w:kinsoku/>
        <w:wordWrap/>
        <w:overflowPunct/>
        <w:topLinePunct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2、乙方所交付的成果文件不符合合同规定的，甲方有权拒收。甲方拒收的，乙方应向甲方支付合同总款5%的违约金。</w:t>
      </w:r>
    </w:p>
    <w:p w14:paraId="7EBBFA68">
      <w:pPr>
        <w:pageBreakBefore w:val="0"/>
        <w:widowControl/>
        <w:kinsoku/>
        <w:wordWrap/>
        <w:overflowPunct/>
        <w:topLinePunct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3、乙方服务不符合本合同约定的，甲方有权要求乙方限期整改，乙方整改至符合要求但逾期交付的，按照本条第1款处理；乙方拒不整改或整改后仍不符合约定的，乙方应退回甲方已支付款项，并向甲方偿付合同总额的 30%的违约金，同时，甲方有权解除合同，解除合同的通知自到达乙方时生效。</w:t>
      </w:r>
    </w:p>
    <w:p w14:paraId="4792A6D6">
      <w:pPr>
        <w:pageBreakBefore w:val="0"/>
        <w:widowControl/>
        <w:kinsoku/>
        <w:wordWrap/>
        <w:overflowPunct/>
        <w:topLinePunct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4、乙方未按本合同的规定和“服务承诺”提供伴随服务/售后服务的，应按合同总价款的5%向甲方承担违约责任。</w:t>
      </w:r>
    </w:p>
    <w:p w14:paraId="56CD2E89">
      <w:pPr>
        <w:pageBreakBefore w:val="0"/>
        <w:widowControl/>
        <w:kinsoku/>
        <w:wordWrap/>
        <w:overflowPunct/>
        <w:topLinePunct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5、乙方在承担上述1-4款一项或多项违约责任后，仍应继续履行合同规定的义务（甲方解除合同的除外）。甲方未能及时追究乙方的任何一项违约责任并不表明甲方放弃追究乙方该项或其他违约责任。</w:t>
      </w:r>
    </w:p>
    <w:p w14:paraId="6C4B3BEA">
      <w:pPr>
        <w:pageBreakBefore w:val="0"/>
        <w:widowControl/>
        <w:kinsoku/>
        <w:wordWrap/>
        <w:overflowPunct/>
        <w:topLinePunct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6、乙方响应属虚假承诺，或经权威部门检测提供的服务不能满足竞争性磋商文件要求，或是由于乙方的过错造成合同无法继续履行的，乙方应向甲方支付合同总价30%违约金，违约金不足以弥补甲方实际损失的，乙方应当赔偿甲方所有的实际经济损失。</w:t>
      </w:r>
    </w:p>
    <w:p w14:paraId="0ADBABB7">
      <w:pPr>
        <w:pageBreakBefore w:val="0"/>
        <w:widowControl/>
        <w:kinsoku/>
        <w:wordWrap/>
        <w:overflowPunct/>
        <w:topLinePunct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7、乙方自愿承担甲方因调查乙方违约行为以及甲方为维权而支出的合理费用，包括但不限于律师费、诉讼费、财产保全费、担保费、鉴定费、评估费等。</w:t>
      </w:r>
    </w:p>
    <w:p w14:paraId="69CF8689">
      <w:pPr>
        <w:pageBreakBefore w:val="0"/>
        <w:widowControl/>
        <w:kinsoku/>
        <w:wordWrap/>
        <w:overflowPunct/>
        <w:topLinePunct w:val="0"/>
        <w:bidi w:val="0"/>
        <w:adjustRightInd/>
        <w:snapToGrid/>
        <w:spacing w:line="560" w:lineRule="exact"/>
        <w:ind w:firstLine="643" w:firstLineChars="200"/>
        <w:contextualSpacing/>
        <w:jc w:val="left"/>
        <w:textAlignment w:val="auto"/>
        <w:outlineLvl w:val="9"/>
        <w:rPr>
          <w:rFonts w:hint="default" w:ascii="Times New Roman" w:hAnsi="Times New Roman" w:eastAsia="方正仿宋_GBK" w:cs="Times New Roman"/>
          <w:b/>
          <w:bCs/>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highlight w:val="none"/>
          <w:lang w:val="zh-CN"/>
          <w14:textFill>
            <w14:solidFill>
              <w14:schemeClr w14:val="tx1"/>
            </w14:solidFill>
          </w14:textFill>
        </w:rPr>
        <w:t>第十条合同的变更和终止</w:t>
      </w:r>
    </w:p>
    <w:p w14:paraId="58406F97">
      <w:pPr>
        <w:pageBreakBefore w:val="0"/>
        <w:widowControl/>
        <w:kinsoku/>
        <w:wordWrap/>
        <w:overflowPunct/>
        <w:topLinePunct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1、本合同一经签订，甲乙双方不得擅自变更、中止或终止合同。</w:t>
      </w:r>
    </w:p>
    <w:p w14:paraId="446AC5E8">
      <w:pPr>
        <w:pageBreakBefore w:val="0"/>
        <w:widowControl/>
        <w:kinsoku/>
        <w:wordWrap/>
        <w:overflowPunct/>
        <w:topLinePunct w:val="0"/>
        <w:bidi w:val="0"/>
        <w:adjustRightInd/>
        <w:snapToGrid/>
        <w:spacing w:line="560" w:lineRule="exact"/>
        <w:ind w:firstLine="640" w:firstLineChars="200"/>
        <w:contextualSpacing/>
        <w:jc w:val="left"/>
        <w:textAlignment w:val="auto"/>
        <w:outlineLvl w:val="9"/>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2、除发生法律规定的不能预见、不能避免并不能克服的客观情况外，甲乙双方不得放弃或拒绝履行合同。乙方放弃或拒绝履行合同，应当退还甲方已支付的合同款并向甲方支付合同总价款30%的违约金，且甲方有权单方解除合同，解除合同的通知自到达乙方时生效。</w:t>
      </w:r>
    </w:p>
    <w:p w14:paraId="65B3B495">
      <w:pPr>
        <w:pageBreakBefore w:val="0"/>
        <w:widowControl/>
        <w:kinsoku/>
        <w:wordWrap/>
        <w:overflowPunct/>
        <w:topLinePunct w:val="0"/>
        <w:bidi w:val="0"/>
        <w:adjustRightInd/>
        <w:snapToGrid/>
        <w:spacing w:line="560" w:lineRule="exact"/>
        <w:ind w:firstLine="643" w:firstLineChars="200"/>
        <w:jc w:val="left"/>
        <w:textAlignment w:val="auto"/>
        <w:rPr>
          <w:rFonts w:hint="default" w:ascii="Times New Roman" w:hAnsi="Times New Roman" w:eastAsia="方正仿宋_GBK" w:cs="Times New Roman"/>
          <w:b/>
          <w:bCs/>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highlight w:val="none"/>
          <w:lang w:val="zh-CN"/>
          <w14:textFill>
            <w14:solidFill>
              <w14:schemeClr w14:val="tx1"/>
            </w14:solidFill>
          </w14:textFill>
        </w:rPr>
        <w:t>第十一条</w:t>
      </w:r>
      <w:r>
        <w:rPr>
          <w:rFonts w:hint="default" w:ascii="Times New Roman" w:hAnsi="Times New Roman" w:eastAsia="方正仿宋_GBK" w:cs="Times New Roman"/>
          <w:b/>
          <w:bCs/>
          <w:color w:val="000000" w:themeColor="text1"/>
          <w:kern w:val="0"/>
          <w:sz w:val="32"/>
          <w:szCs w:val="32"/>
          <w:highlight w:val="none"/>
          <w14:textFill>
            <w14:solidFill>
              <w14:schemeClr w14:val="tx1"/>
            </w14:solidFill>
          </w14:textFill>
        </w:rPr>
        <w:t xml:space="preserve"> </w:t>
      </w:r>
      <w:r>
        <w:rPr>
          <w:rFonts w:hint="default" w:ascii="Times New Roman" w:hAnsi="Times New Roman" w:eastAsia="方正仿宋_GBK" w:cs="Times New Roman"/>
          <w:b/>
          <w:bCs/>
          <w:color w:val="000000" w:themeColor="text1"/>
          <w:kern w:val="0"/>
          <w:sz w:val="32"/>
          <w:szCs w:val="32"/>
          <w:highlight w:val="none"/>
          <w:lang w:val="zh-CN"/>
          <w14:textFill>
            <w14:solidFill>
              <w14:schemeClr w14:val="tx1"/>
            </w14:solidFill>
          </w14:textFill>
        </w:rPr>
        <w:t>合同的转让</w:t>
      </w:r>
    </w:p>
    <w:p w14:paraId="1EE818AA">
      <w:pPr>
        <w:pageBreakBefore w:val="0"/>
        <w:widowControl/>
        <w:kinsoku/>
        <w:wordWrap/>
        <w:overflowPunct/>
        <w:topLinePunct w:val="0"/>
        <w:bidi w:val="0"/>
        <w:adjustRightInd/>
        <w:snapToGrid/>
        <w:spacing w:line="560" w:lineRule="exact"/>
        <w:ind w:firstLine="640" w:firstLineChars="200"/>
        <w:jc w:val="left"/>
        <w:textAlignment w:val="auto"/>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乙方不得擅自部分或全部转让其应履行的合同义务。</w:t>
      </w:r>
    </w:p>
    <w:p w14:paraId="6FDA144A">
      <w:pPr>
        <w:pageBreakBefore w:val="0"/>
        <w:widowControl/>
        <w:kinsoku/>
        <w:wordWrap/>
        <w:overflowPunct/>
        <w:topLinePunct w:val="0"/>
        <w:bidi w:val="0"/>
        <w:adjustRightInd/>
        <w:snapToGrid/>
        <w:spacing w:line="560" w:lineRule="exact"/>
        <w:ind w:firstLine="640" w:firstLineChars="200"/>
        <w:jc w:val="left"/>
        <w:textAlignment w:val="auto"/>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如乙方违法上述规定，甲方有权解除合同，解除合同的通知自到达乙方时生效。因此对甲方造成损失的，乙方应当向甲方支付合同总价款 30%的违约金，不足以弥补甲方损失的需补足。</w:t>
      </w:r>
    </w:p>
    <w:p w14:paraId="4DB64717">
      <w:pPr>
        <w:pageBreakBefore w:val="0"/>
        <w:widowControl/>
        <w:kinsoku/>
        <w:wordWrap/>
        <w:overflowPunct/>
        <w:topLinePunct w:val="0"/>
        <w:bidi w:val="0"/>
        <w:adjustRightInd/>
        <w:snapToGrid/>
        <w:spacing w:line="560" w:lineRule="exact"/>
        <w:ind w:firstLine="643" w:firstLineChars="200"/>
        <w:jc w:val="left"/>
        <w:textAlignment w:val="auto"/>
        <w:rPr>
          <w:rFonts w:hint="default" w:ascii="Times New Roman" w:hAnsi="Times New Roman" w:eastAsia="方正仿宋_GBK" w:cs="Times New Roman"/>
          <w:b/>
          <w:bCs/>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highlight w:val="none"/>
          <w:lang w:val="zh-CN"/>
          <w14:textFill>
            <w14:solidFill>
              <w14:schemeClr w14:val="tx1"/>
            </w14:solidFill>
          </w14:textFill>
        </w:rPr>
        <w:t>第十二条</w:t>
      </w:r>
      <w:r>
        <w:rPr>
          <w:rFonts w:hint="default" w:ascii="Times New Roman" w:hAnsi="Times New Roman" w:eastAsia="方正仿宋_GBK" w:cs="Times New Roman"/>
          <w:b/>
          <w:bCs/>
          <w:color w:val="000000" w:themeColor="text1"/>
          <w:kern w:val="0"/>
          <w:sz w:val="32"/>
          <w:szCs w:val="32"/>
          <w:highlight w:val="none"/>
          <w14:textFill>
            <w14:solidFill>
              <w14:schemeClr w14:val="tx1"/>
            </w14:solidFill>
          </w14:textFill>
        </w:rPr>
        <w:t xml:space="preserve"> </w:t>
      </w:r>
      <w:r>
        <w:rPr>
          <w:rFonts w:hint="default" w:ascii="Times New Roman" w:hAnsi="Times New Roman" w:eastAsia="方正仿宋_GBK" w:cs="Times New Roman"/>
          <w:b/>
          <w:bCs/>
          <w:color w:val="000000" w:themeColor="text1"/>
          <w:kern w:val="0"/>
          <w:sz w:val="32"/>
          <w:szCs w:val="32"/>
          <w:highlight w:val="none"/>
          <w:lang w:val="zh-CN"/>
          <w14:textFill>
            <w14:solidFill>
              <w14:schemeClr w14:val="tx1"/>
            </w14:solidFill>
          </w14:textFill>
        </w:rPr>
        <w:t>争议的解决</w:t>
      </w:r>
    </w:p>
    <w:p w14:paraId="6F4FFFBE">
      <w:pPr>
        <w:pageBreakBefore w:val="0"/>
        <w:widowControl/>
        <w:kinsoku/>
        <w:wordWrap/>
        <w:overflowPunct/>
        <w:topLinePunct w:val="0"/>
        <w:bidi w:val="0"/>
        <w:adjustRightInd/>
        <w:snapToGrid/>
        <w:spacing w:line="560" w:lineRule="exact"/>
        <w:ind w:firstLine="640" w:firstLineChars="200"/>
        <w:jc w:val="left"/>
        <w:textAlignment w:val="auto"/>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1、因服务的质量问题发生争议的，应当邀请国家认可的质量检测机构对服务质量进行鉴定。符合标准的，鉴定费由甲方承担；不符合质量标准的，鉴定费由乙方承担。</w:t>
      </w:r>
    </w:p>
    <w:p w14:paraId="35C9DE2C">
      <w:pPr>
        <w:pageBreakBefore w:val="0"/>
        <w:widowControl/>
        <w:kinsoku/>
        <w:wordWrap/>
        <w:overflowPunct/>
        <w:topLinePunct w:val="0"/>
        <w:bidi w:val="0"/>
        <w:adjustRightInd/>
        <w:snapToGrid/>
        <w:spacing w:line="560" w:lineRule="exact"/>
        <w:ind w:firstLine="640" w:firstLineChars="200"/>
        <w:jc w:val="left"/>
        <w:textAlignment w:val="auto"/>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2、因履行本合同引起的或与本合同有关的争议，甲、乙双方应首先通过友好协商解决，如果协商不能解决争议，则采取以下第（1）种方式解决争议：</w:t>
      </w:r>
    </w:p>
    <w:p w14:paraId="1285814B">
      <w:pPr>
        <w:pageBreakBefore w:val="0"/>
        <w:widowControl/>
        <w:kinsoku/>
        <w:wordWrap/>
        <w:overflowPunct/>
        <w:topLinePunct w:val="0"/>
        <w:bidi w:val="0"/>
        <w:adjustRightInd/>
        <w:snapToGrid/>
        <w:spacing w:line="560" w:lineRule="exact"/>
        <w:ind w:firstLine="640" w:firstLineChars="200"/>
        <w:jc w:val="left"/>
        <w:textAlignment w:val="auto"/>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（1）向甲方所在地有管辖权的人民法院提起诉讼；</w:t>
      </w:r>
    </w:p>
    <w:p w14:paraId="3B57018E">
      <w:pPr>
        <w:pageBreakBefore w:val="0"/>
        <w:widowControl/>
        <w:kinsoku/>
        <w:wordWrap/>
        <w:overflowPunct/>
        <w:topLinePunct w:val="0"/>
        <w:bidi w:val="0"/>
        <w:adjustRightInd/>
        <w:snapToGrid/>
        <w:spacing w:line="560" w:lineRule="exact"/>
        <w:ind w:firstLine="640" w:firstLineChars="200"/>
        <w:jc w:val="left"/>
        <w:textAlignment w:val="auto"/>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（2）向南京仲裁委员会按其仲裁规则申请仲裁。</w:t>
      </w:r>
    </w:p>
    <w:p w14:paraId="5603AA28">
      <w:pPr>
        <w:pageBreakBefore w:val="0"/>
        <w:widowControl/>
        <w:kinsoku/>
        <w:wordWrap/>
        <w:overflowPunct/>
        <w:topLinePunct w:val="0"/>
        <w:bidi w:val="0"/>
        <w:adjustRightInd/>
        <w:snapToGrid/>
        <w:spacing w:line="560" w:lineRule="exact"/>
        <w:ind w:firstLine="640" w:firstLineChars="200"/>
        <w:jc w:val="left"/>
        <w:textAlignment w:val="auto"/>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如没有约定，默认采取第2种方式解决争议。</w:t>
      </w:r>
    </w:p>
    <w:p w14:paraId="5AC5677E">
      <w:pPr>
        <w:pageBreakBefore w:val="0"/>
        <w:widowControl/>
        <w:kinsoku/>
        <w:wordWrap/>
        <w:overflowPunct/>
        <w:topLinePunct w:val="0"/>
        <w:bidi w:val="0"/>
        <w:adjustRightInd/>
        <w:snapToGrid/>
        <w:spacing w:line="560" w:lineRule="exact"/>
        <w:ind w:firstLine="640" w:firstLineChars="200"/>
        <w:jc w:val="left"/>
        <w:textAlignment w:val="auto"/>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3、</w:t>
      </w:r>
      <w:r>
        <w:rPr>
          <w:rFonts w:hint="default" w:ascii="Times New Roman" w:hAnsi="Times New Roman" w:eastAsia="方正仿宋_GBK" w:cs="Times New Roman"/>
          <w:color w:val="000000" w:themeColor="text1"/>
          <w:kern w:val="0"/>
          <w:sz w:val="32"/>
          <w:szCs w:val="32"/>
          <w:highlight w:val="none"/>
          <w:lang w:val="zh-CN" w:eastAsia="en-US"/>
          <w14:textFill>
            <w14:solidFill>
              <w14:schemeClr w14:val="tx1"/>
            </w14:solidFill>
          </w14:textFill>
        </w:rPr>
        <w:t>在诉讼或仲裁期间，本合同应继续履行。</w:t>
      </w:r>
    </w:p>
    <w:p w14:paraId="093EE997">
      <w:pPr>
        <w:pageBreakBefore w:val="0"/>
        <w:widowControl/>
        <w:kinsoku/>
        <w:wordWrap/>
        <w:overflowPunct/>
        <w:topLinePunct w:val="0"/>
        <w:bidi w:val="0"/>
        <w:adjustRightInd/>
        <w:snapToGrid/>
        <w:spacing w:line="560" w:lineRule="exact"/>
        <w:ind w:firstLine="643" w:firstLineChars="200"/>
        <w:jc w:val="left"/>
        <w:textAlignment w:val="auto"/>
        <w:rPr>
          <w:rFonts w:hint="default" w:ascii="Times New Roman" w:hAnsi="Times New Roman" w:eastAsia="方正仿宋_GBK" w:cs="Times New Roman"/>
          <w:b/>
          <w:bCs/>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highlight w:val="none"/>
          <w:lang w:val="zh-CN"/>
          <w14:textFill>
            <w14:solidFill>
              <w14:schemeClr w14:val="tx1"/>
            </w14:solidFill>
          </w14:textFill>
        </w:rPr>
        <w:t>第十三条</w:t>
      </w:r>
      <w:r>
        <w:rPr>
          <w:rFonts w:hint="default" w:ascii="Times New Roman" w:hAnsi="Times New Roman" w:eastAsia="方正仿宋_GBK" w:cs="Times New Roman"/>
          <w:b/>
          <w:bCs/>
          <w:color w:val="000000" w:themeColor="text1"/>
          <w:kern w:val="0"/>
          <w:sz w:val="32"/>
          <w:szCs w:val="32"/>
          <w:highlight w:val="none"/>
          <w14:textFill>
            <w14:solidFill>
              <w14:schemeClr w14:val="tx1"/>
            </w14:solidFill>
          </w14:textFill>
        </w:rPr>
        <w:t xml:space="preserve"> </w:t>
      </w:r>
      <w:r>
        <w:rPr>
          <w:rFonts w:hint="default" w:ascii="Times New Roman" w:hAnsi="Times New Roman" w:eastAsia="方正仿宋_GBK" w:cs="Times New Roman"/>
          <w:b/>
          <w:bCs/>
          <w:color w:val="000000" w:themeColor="text1"/>
          <w:kern w:val="0"/>
          <w:sz w:val="32"/>
          <w:szCs w:val="32"/>
          <w:highlight w:val="none"/>
          <w:lang w:val="zh-CN"/>
          <w14:textFill>
            <w14:solidFill>
              <w14:schemeClr w14:val="tx1"/>
            </w14:solidFill>
          </w14:textFill>
        </w:rPr>
        <w:t>诚实信用</w:t>
      </w:r>
    </w:p>
    <w:p w14:paraId="0FFFD19C">
      <w:pPr>
        <w:pageBreakBefore w:val="0"/>
        <w:widowControl/>
        <w:kinsoku/>
        <w:wordWrap/>
        <w:overflowPunct/>
        <w:topLinePunct w:val="0"/>
        <w:bidi w:val="0"/>
        <w:adjustRightInd/>
        <w:snapToGrid/>
        <w:spacing w:line="560" w:lineRule="exact"/>
        <w:ind w:firstLine="640" w:firstLineChars="200"/>
        <w:jc w:val="left"/>
        <w:textAlignment w:val="auto"/>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乙方应诚实信用，严格按照竞争性磋商文件要求和响应承诺履行合同，不向甲方进行商业贿赂或者提供不正当利益。</w:t>
      </w:r>
    </w:p>
    <w:p w14:paraId="43BA5A78">
      <w:pPr>
        <w:pageBreakBefore w:val="0"/>
        <w:widowControl/>
        <w:kinsoku/>
        <w:wordWrap/>
        <w:overflowPunct/>
        <w:topLinePunct w:val="0"/>
        <w:bidi w:val="0"/>
        <w:adjustRightInd/>
        <w:snapToGrid/>
        <w:spacing w:line="560" w:lineRule="exact"/>
        <w:ind w:firstLine="643" w:firstLineChars="200"/>
        <w:jc w:val="left"/>
        <w:textAlignment w:val="auto"/>
        <w:rPr>
          <w:rFonts w:hint="default" w:ascii="Times New Roman" w:hAnsi="Times New Roman" w:eastAsia="方正仿宋_GBK" w:cs="Times New Roman"/>
          <w:b/>
          <w:bCs/>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highlight w:val="none"/>
          <w:lang w:val="zh-CN"/>
          <w14:textFill>
            <w14:solidFill>
              <w14:schemeClr w14:val="tx1"/>
            </w14:solidFill>
          </w14:textFill>
        </w:rPr>
        <w:t>第十四条</w:t>
      </w:r>
      <w:r>
        <w:rPr>
          <w:rFonts w:hint="default" w:ascii="Times New Roman" w:hAnsi="Times New Roman" w:eastAsia="方正仿宋_GBK" w:cs="Times New Roman"/>
          <w:b/>
          <w:bCs/>
          <w:color w:val="000000" w:themeColor="text1"/>
          <w:kern w:val="0"/>
          <w:sz w:val="32"/>
          <w:szCs w:val="32"/>
          <w:highlight w:val="none"/>
          <w14:textFill>
            <w14:solidFill>
              <w14:schemeClr w14:val="tx1"/>
            </w14:solidFill>
          </w14:textFill>
        </w:rPr>
        <w:t xml:space="preserve"> </w:t>
      </w:r>
      <w:r>
        <w:rPr>
          <w:rFonts w:hint="default" w:ascii="Times New Roman" w:hAnsi="Times New Roman" w:eastAsia="方正仿宋_GBK" w:cs="Times New Roman"/>
          <w:b/>
          <w:bCs/>
          <w:color w:val="000000" w:themeColor="text1"/>
          <w:kern w:val="0"/>
          <w:sz w:val="32"/>
          <w:szCs w:val="32"/>
          <w:highlight w:val="none"/>
          <w:lang w:val="zh-CN"/>
          <w14:textFill>
            <w14:solidFill>
              <w14:schemeClr w14:val="tx1"/>
            </w14:solidFill>
          </w14:textFill>
        </w:rPr>
        <w:t>合同生效及其他</w:t>
      </w:r>
    </w:p>
    <w:p w14:paraId="3A13A86D">
      <w:pPr>
        <w:pageBreakBefore w:val="0"/>
        <w:widowControl/>
        <w:kinsoku/>
        <w:wordWrap/>
        <w:overflowPunct/>
        <w:topLinePunct w:val="0"/>
        <w:bidi w:val="0"/>
        <w:adjustRightInd/>
        <w:snapToGrid/>
        <w:spacing w:line="560" w:lineRule="exact"/>
        <w:ind w:firstLine="640" w:firstLineChars="200"/>
        <w:jc w:val="left"/>
        <w:textAlignment w:val="auto"/>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1、</w:t>
      </w:r>
      <w:r>
        <w:rPr>
          <w:rFonts w:hint="default" w:ascii="Times New Roman" w:hAnsi="Times New Roman" w:eastAsia="方正仿宋_GBK" w:cs="Times New Roman"/>
          <w:color w:val="000000" w:themeColor="text1"/>
          <w:kern w:val="0"/>
          <w:sz w:val="32"/>
          <w:szCs w:val="32"/>
          <w:highlight w:val="none"/>
          <w:lang w:val="zh-CN" w:eastAsia="en-US"/>
          <w14:textFill>
            <w14:solidFill>
              <w14:schemeClr w14:val="tx1"/>
            </w14:solidFill>
          </w14:textFill>
        </w:rPr>
        <w:t>本合同自双方签字盖章后生效</w:t>
      </w: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w:t>
      </w:r>
    </w:p>
    <w:p w14:paraId="6553E05C">
      <w:pPr>
        <w:pageBreakBefore w:val="0"/>
        <w:widowControl/>
        <w:kinsoku/>
        <w:wordWrap/>
        <w:overflowPunct/>
        <w:topLinePunct w:val="0"/>
        <w:bidi w:val="0"/>
        <w:adjustRightInd/>
        <w:snapToGrid/>
        <w:spacing w:line="560" w:lineRule="exact"/>
        <w:ind w:firstLine="640" w:firstLineChars="200"/>
        <w:jc w:val="left"/>
        <w:textAlignment w:val="auto"/>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2、本合同一式</w:t>
      </w:r>
      <w:r>
        <w:rPr>
          <w:rFonts w:hint="eastAsia"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陆</w:t>
      </w: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份，甲乙双方各</w:t>
      </w:r>
      <w:r>
        <w:rPr>
          <w:rFonts w:hint="eastAsia"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叁</w:t>
      </w: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份，具有同等法律效力。</w:t>
      </w:r>
    </w:p>
    <w:p w14:paraId="24CF8ECF">
      <w:pPr>
        <w:pageBreakBefore w:val="0"/>
        <w:widowControl/>
        <w:kinsoku/>
        <w:wordWrap/>
        <w:overflowPunct/>
        <w:topLinePunct w:val="0"/>
        <w:bidi w:val="0"/>
        <w:adjustRightInd/>
        <w:snapToGrid/>
        <w:spacing w:line="560" w:lineRule="exact"/>
        <w:ind w:firstLine="640" w:firstLineChars="200"/>
        <w:jc w:val="left"/>
        <w:textAlignment w:val="auto"/>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3、本合同应按照中华人民共和国的现行法律进行解释。</w:t>
      </w:r>
    </w:p>
    <w:p w14:paraId="0D6F22C1">
      <w:pPr>
        <w:pageBreakBefore w:val="0"/>
        <w:widowControl/>
        <w:kinsoku/>
        <w:wordWrap/>
        <w:overflowPunct/>
        <w:topLinePunct w:val="0"/>
        <w:bidi w:val="0"/>
        <w:adjustRightInd/>
        <w:snapToGrid/>
        <w:spacing w:line="560" w:lineRule="exact"/>
        <w:jc w:val="left"/>
        <w:textAlignment w:val="auto"/>
        <w:outlineLvl w:val="9"/>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p>
    <w:tbl>
      <w:tblPr>
        <w:tblStyle w:val="4"/>
        <w:tblpPr w:leftFromText="180" w:rightFromText="180" w:vertAnchor="text" w:horzAnchor="page" w:tblpX="1732" w:tblpY="124"/>
        <w:tblOverlap w:val="never"/>
        <w:tblW w:w="9286" w:type="dxa"/>
        <w:tblInd w:w="0" w:type="dxa"/>
        <w:tblLayout w:type="fixed"/>
        <w:tblCellMar>
          <w:top w:w="0" w:type="dxa"/>
          <w:left w:w="0" w:type="dxa"/>
          <w:bottom w:w="0" w:type="dxa"/>
          <w:right w:w="0" w:type="dxa"/>
        </w:tblCellMar>
      </w:tblPr>
      <w:tblGrid>
        <w:gridCol w:w="4470"/>
        <w:gridCol w:w="4816"/>
      </w:tblGrid>
      <w:tr w14:paraId="5DDAC9AD">
        <w:tblPrEx>
          <w:tblCellMar>
            <w:top w:w="0" w:type="dxa"/>
            <w:left w:w="0" w:type="dxa"/>
            <w:bottom w:w="0" w:type="dxa"/>
            <w:right w:w="0" w:type="dxa"/>
          </w:tblCellMar>
        </w:tblPrEx>
        <w:tc>
          <w:tcPr>
            <w:tcW w:w="4470" w:type="dxa"/>
            <w:tcBorders>
              <w:top w:val="dotted" w:color="auto" w:sz="4" w:space="0"/>
              <w:left w:val="dotted" w:color="auto" w:sz="4" w:space="0"/>
              <w:bottom w:val="dotted" w:color="auto" w:sz="4" w:space="0"/>
              <w:right w:val="dotted" w:color="auto" w:sz="4" w:space="0"/>
            </w:tcBorders>
            <w:vAlign w:val="top"/>
          </w:tcPr>
          <w:p w14:paraId="1F257F87">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left"/>
              <w:textAlignment w:val="auto"/>
              <w:outlineLvl w:val="9"/>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甲方（采购人）：（盖章）</w:t>
            </w:r>
          </w:p>
        </w:tc>
        <w:tc>
          <w:tcPr>
            <w:tcW w:w="4816" w:type="dxa"/>
            <w:tcBorders>
              <w:top w:val="dotted" w:color="auto" w:sz="4" w:space="0"/>
              <w:left w:val="dotted" w:color="auto" w:sz="4" w:space="0"/>
              <w:bottom w:val="dotted" w:color="auto" w:sz="4" w:space="0"/>
              <w:right w:val="dotted" w:color="auto" w:sz="4" w:space="0"/>
            </w:tcBorders>
            <w:vAlign w:val="top"/>
          </w:tcPr>
          <w:p w14:paraId="3BC9CD47">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left"/>
              <w:textAlignment w:val="auto"/>
              <w:outlineLvl w:val="9"/>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乙方（供应商）：</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国检测试控股集团江苏京诚检测有限公司</w:t>
            </w: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（盖章）</w:t>
            </w:r>
          </w:p>
        </w:tc>
      </w:tr>
      <w:tr w14:paraId="28FBB215">
        <w:tblPrEx>
          <w:tblCellMar>
            <w:top w:w="0" w:type="dxa"/>
            <w:left w:w="0" w:type="dxa"/>
            <w:bottom w:w="0" w:type="dxa"/>
            <w:right w:w="0" w:type="dxa"/>
          </w:tblCellMar>
        </w:tblPrEx>
        <w:tc>
          <w:tcPr>
            <w:tcW w:w="4470" w:type="dxa"/>
            <w:tcBorders>
              <w:top w:val="dotted" w:color="auto" w:sz="4" w:space="0"/>
              <w:left w:val="dotted" w:color="auto" w:sz="4" w:space="0"/>
              <w:bottom w:val="dotted" w:color="auto" w:sz="4" w:space="0"/>
              <w:right w:val="dotted" w:color="auto" w:sz="4" w:space="0"/>
            </w:tcBorders>
            <w:vAlign w:val="top"/>
          </w:tcPr>
          <w:p w14:paraId="31FE5527">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left"/>
              <w:textAlignment w:val="auto"/>
              <w:outlineLvl w:val="9"/>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pPr>
            <w:r>
              <w:rPr>
                <w:rFonts w:hint="eastAsia"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法定代表</w:t>
            </w: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人</w:t>
            </w:r>
            <w:r>
              <w:rPr>
                <w:rFonts w:hint="eastAsia"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或授权委托人</w:t>
            </w: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w:t>
            </w:r>
          </w:p>
        </w:tc>
        <w:tc>
          <w:tcPr>
            <w:tcW w:w="4816" w:type="dxa"/>
            <w:tcBorders>
              <w:top w:val="dotted" w:color="auto" w:sz="4" w:space="0"/>
              <w:left w:val="dotted" w:color="auto" w:sz="4" w:space="0"/>
              <w:bottom w:val="dotted" w:color="auto" w:sz="4" w:space="0"/>
              <w:right w:val="dotted" w:color="auto" w:sz="4" w:space="0"/>
            </w:tcBorders>
            <w:vAlign w:val="top"/>
          </w:tcPr>
          <w:p w14:paraId="1F73BCCE">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left"/>
              <w:textAlignment w:val="auto"/>
              <w:outlineLvl w:val="9"/>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pPr>
            <w:r>
              <w:rPr>
                <w:rFonts w:hint="eastAsia"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法定代表</w:t>
            </w: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人</w:t>
            </w:r>
            <w:r>
              <w:rPr>
                <w:rFonts w:hint="eastAsia"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或授权委托人</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w:t>
            </w:r>
          </w:p>
          <w:p w14:paraId="723D1F0C">
            <w:pPr>
              <w:pStyle w:val="3"/>
              <w:rPr>
                <w:rFonts w:hint="default"/>
              </w:rPr>
            </w:pPr>
          </w:p>
        </w:tc>
      </w:tr>
      <w:tr w14:paraId="1E381020">
        <w:tblPrEx>
          <w:tblCellMar>
            <w:top w:w="0" w:type="dxa"/>
            <w:left w:w="0" w:type="dxa"/>
            <w:bottom w:w="0" w:type="dxa"/>
            <w:right w:w="0" w:type="dxa"/>
          </w:tblCellMar>
        </w:tblPrEx>
        <w:tc>
          <w:tcPr>
            <w:tcW w:w="4470" w:type="dxa"/>
            <w:tcBorders>
              <w:top w:val="dotted" w:color="auto" w:sz="4" w:space="0"/>
              <w:left w:val="dotted" w:color="auto" w:sz="4" w:space="0"/>
              <w:bottom w:val="dotted" w:color="auto" w:sz="4" w:space="0"/>
              <w:right w:val="dotted" w:color="auto" w:sz="4" w:space="0"/>
            </w:tcBorders>
            <w:vAlign w:val="top"/>
          </w:tcPr>
          <w:p w14:paraId="485392DD">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left"/>
              <w:textAlignment w:val="auto"/>
              <w:outlineLvl w:val="9"/>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电话：</w:t>
            </w:r>
          </w:p>
        </w:tc>
        <w:tc>
          <w:tcPr>
            <w:tcW w:w="4816" w:type="dxa"/>
            <w:tcBorders>
              <w:top w:val="dotted" w:color="auto" w:sz="4" w:space="0"/>
              <w:left w:val="dotted" w:color="auto" w:sz="4" w:space="0"/>
              <w:bottom w:val="dotted" w:color="auto" w:sz="4" w:space="0"/>
              <w:right w:val="dotted" w:color="auto" w:sz="4" w:space="0"/>
            </w:tcBorders>
            <w:vAlign w:val="top"/>
          </w:tcPr>
          <w:p w14:paraId="7A252DB1">
            <w:pPr>
              <w:keepNext w:val="0"/>
              <w:keepLines w:val="0"/>
              <w:pageBreakBefore w:val="0"/>
              <w:widowControl w:val="0"/>
              <w:kinsoku/>
              <w:wordWrap/>
              <w:overflowPunct/>
              <w:topLinePunct w:val="0"/>
              <w:bidi w:val="0"/>
              <w:adjustRightInd/>
              <w:snapToGrid/>
              <w:spacing w:line="560" w:lineRule="exact"/>
              <w:textAlignment w:val="auto"/>
              <w:outlineLvl w:val="9"/>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电话</w:t>
            </w:r>
            <w:r>
              <w:rPr>
                <w:rFonts w:hint="default" w:ascii="Times New Roman" w:hAnsi="Times New Roman" w:eastAsia="方正仿宋_GBK" w:cs="Times New Roman"/>
                <w:color w:val="000000" w:themeColor="text1"/>
                <w:sz w:val="32"/>
                <w:szCs w:val="32"/>
                <w:highlight w:val="none"/>
                <w:lang w:val="zh-CN"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 xml:space="preserve"> 025-58075639 </w:t>
            </w:r>
          </w:p>
        </w:tc>
      </w:tr>
      <w:tr w14:paraId="251BC51A">
        <w:tblPrEx>
          <w:tblCellMar>
            <w:top w:w="0" w:type="dxa"/>
            <w:left w:w="0" w:type="dxa"/>
            <w:bottom w:w="0" w:type="dxa"/>
            <w:right w:w="0" w:type="dxa"/>
          </w:tblCellMar>
        </w:tblPrEx>
        <w:tc>
          <w:tcPr>
            <w:tcW w:w="4470" w:type="dxa"/>
            <w:tcBorders>
              <w:top w:val="dotted" w:color="auto" w:sz="4" w:space="0"/>
              <w:left w:val="dotted" w:color="auto" w:sz="4" w:space="0"/>
              <w:bottom w:val="dotted" w:color="auto" w:sz="4" w:space="0"/>
              <w:right w:val="dotted" w:color="auto" w:sz="4" w:space="0"/>
            </w:tcBorders>
            <w:vAlign w:val="top"/>
          </w:tcPr>
          <w:p w14:paraId="70605FBF">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left"/>
              <w:textAlignment w:val="auto"/>
              <w:outlineLvl w:val="9"/>
              <w:rPr>
                <w:rFonts w:hint="eastAsia"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开户银行：</w:t>
            </w:r>
            <w:r>
              <w:rPr>
                <w:rFonts w:hint="eastAsia"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w:t>
            </w:r>
          </w:p>
        </w:tc>
        <w:tc>
          <w:tcPr>
            <w:tcW w:w="4816" w:type="dxa"/>
            <w:tcBorders>
              <w:top w:val="dotted" w:color="auto" w:sz="4" w:space="0"/>
              <w:left w:val="dotted" w:color="auto" w:sz="4" w:space="0"/>
              <w:bottom w:val="dotted" w:color="auto" w:sz="4" w:space="0"/>
              <w:right w:val="dotted" w:color="auto" w:sz="4" w:space="0"/>
            </w:tcBorders>
            <w:vAlign w:val="top"/>
          </w:tcPr>
          <w:p w14:paraId="1093FCE7">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left"/>
              <w:textAlignment w:val="auto"/>
              <w:outlineLvl w:val="9"/>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eastAsia="zh-CN"/>
                <w14:textFill>
                  <w14:solidFill>
                    <w14:schemeClr w14:val="tx1"/>
                  </w14:solidFill>
                </w14:textFill>
              </w:rPr>
              <w:t>开户银行：</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 xml:space="preserve"> 中国工商银行南京梅山支行 </w:t>
            </w:r>
          </w:p>
        </w:tc>
      </w:tr>
      <w:tr w14:paraId="313A7C81">
        <w:tblPrEx>
          <w:tblCellMar>
            <w:top w:w="0" w:type="dxa"/>
            <w:left w:w="0" w:type="dxa"/>
            <w:bottom w:w="0" w:type="dxa"/>
            <w:right w:w="0" w:type="dxa"/>
          </w:tblCellMar>
        </w:tblPrEx>
        <w:tc>
          <w:tcPr>
            <w:tcW w:w="4470" w:type="dxa"/>
            <w:tcBorders>
              <w:top w:val="dotted" w:color="auto" w:sz="4" w:space="0"/>
              <w:left w:val="dotted" w:color="auto" w:sz="4" w:space="0"/>
              <w:bottom w:val="dotted" w:color="auto" w:sz="4" w:space="0"/>
              <w:right w:val="dotted" w:color="auto" w:sz="4" w:space="0"/>
            </w:tcBorders>
            <w:vAlign w:val="top"/>
          </w:tcPr>
          <w:p w14:paraId="63A48EE8">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left"/>
              <w:textAlignment w:val="auto"/>
              <w:outlineLvl w:val="9"/>
              <w:rPr>
                <w:rFonts w:hint="eastAsia"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zh-CN"/>
                <w14:textFill>
                  <w14:solidFill>
                    <w14:schemeClr w14:val="tx1"/>
                  </w14:solidFill>
                </w14:textFill>
              </w:rPr>
              <w:t>账号：</w:t>
            </w:r>
            <w:r>
              <w:rPr>
                <w:rFonts w:hint="eastAsia"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w:t>
            </w:r>
          </w:p>
        </w:tc>
        <w:tc>
          <w:tcPr>
            <w:tcW w:w="4816" w:type="dxa"/>
            <w:tcBorders>
              <w:top w:val="dotted" w:color="auto" w:sz="4" w:space="0"/>
              <w:left w:val="dotted" w:color="auto" w:sz="4" w:space="0"/>
              <w:bottom w:val="dotted" w:color="auto" w:sz="4" w:space="0"/>
              <w:right w:val="dotted" w:color="auto" w:sz="4" w:space="0"/>
            </w:tcBorders>
            <w:vAlign w:val="top"/>
          </w:tcPr>
          <w:p w14:paraId="353D867F">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left"/>
              <w:textAlignment w:val="auto"/>
              <w:outlineLvl w:val="9"/>
              <w:rPr>
                <w:rFonts w:hint="default" w:ascii="Times New Roman" w:hAnsi="Times New Roman" w:eastAsia="方正仿宋_GBK" w:cs="Times New Roman"/>
                <w:color w:val="000000" w:themeColor="text1"/>
                <w:sz w:val="32"/>
                <w:szCs w:val="32"/>
                <w:highlight w:val="none"/>
                <w:lang w:val="zh-CN"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zh-CN" w:eastAsia="zh-CN"/>
                <w14:textFill>
                  <w14:solidFill>
                    <w14:schemeClr w14:val="tx1"/>
                  </w14:solidFill>
                </w14:textFill>
              </w:rPr>
              <w:t>账号：</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 xml:space="preserve"> 43010138191001208 </w:t>
            </w:r>
          </w:p>
        </w:tc>
      </w:tr>
      <w:tr w14:paraId="12598C57">
        <w:tblPrEx>
          <w:tblCellMar>
            <w:top w:w="0" w:type="dxa"/>
            <w:left w:w="0" w:type="dxa"/>
            <w:bottom w:w="0" w:type="dxa"/>
            <w:right w:w="0" w:type="dxa"/>
          </w:tblCellMar>
        </w:tblPrEx>
        <w:tc>
          <w:tcPr>
            <w:tcW w:w="4470" w:type="dxa"/>
            <w:tcBorders>
              <w:top w:val="dotted" w:color="auto" w:sz="4" w:space="0"/>
              <w:left w:val="dotted" w:color="auto" w:sz="4" w:space="0"/>
              <w:bottom w:val="dotted" w:color="auto" w:sz="4" w:space="0"/>
              <w:right w:val="dotted" w:color="auto" w:sz="4" w:space="0"/>
            </w:tcBorders>
            <w:vAlign w:val="top"/>
          </w:tcPr>
          <w:p w14:paraId="22D0BE4F">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left"/>
              <w:textAlignment w:val="auto"/>
              <w:outlineLvl w:val="9"/>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签订日期：</w:t>
            </w:r>
          </w:p>
        </w:tc>
        <w:tc>
          <w:tcPr>
            <w:tcW w:w="4816" w:type="dxa"/>
            <w:tcBorders>
              <w:top w:val="dotted" w:color="auto" w:sz="4" w:space="0"/>
              <w:left w:val="dotted" w:color="auto" w:sz="4" w:space="0"/>
              <w:bottom w:val="dotted" w:color="auto" w:sz="4" w:space="0"/>
              <w:right w:val="dotted" w:color="auto" w:sz="4" w:space="0"/>
            </w:tcBorders>
            <w:vAlign w:val="top"/>
          </w:tcPr>
          <w:p w14:paraId="2C4FE593">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jc w:val="left"/>
              <w:textAlignment w:val="auto"/>
              <w:outlineLvl w:val="9"/>
              <w:rPr>
                <w:rFonts w:hint="default" w:ascii="Times New Roman" w:hAnsi="Times New Roman" w:eastAsia="方正仿宋_GBK" w:cs="Times New Roman"/>
                <w:color w:val="000000" w:themeColor="text1"/>
                <w:sz w:val="32"/>
                <w:szCs w:val="32"/>
                <w:highlight w:val="none"/>
                <w:lang w:val="zh-CN" w:eastAsia="zh-CN"/>
                <w14:textFill>
                  <w14:solidFill>
                    <w14:schemeClr w14:val="tx1"/>
                  </w14:solidFill>
                </w14:textFill>
              </w:rPr>
            </w:pPr>
          </w:p>
        </w:tc>
      </w:tr>
    </w:tbl>
    <w:p w14:paraId="084D227B">
      <w:pPr>
        <w:pageBreakBefore w:val="0"/>
        <w:kinsoku/>
        <w:wordWrap/>
        <w:overflowPunct/>
        <w:topLinePunct w:val="0"/>
        <w:bidi w:val="0"/>
        <w:adjustRightInd/>
        <w:snapToGrid/>
        <w:spacing w:line="560" w:lineRule="exact"/>
        <w:textAlignment w:val="auto"/>
        <w:rPr>
          <w:rFonts w:hint="default" w:ascii="Times New Roman" w:hAnsi="Times New Roman" w:eastAsia="方正仿宋_GBK" w:cs="Times New Roman"/>
          <w:sz w:val="32"/>
          <w:szCs w:val="32"/>
        </w:rPr>
        <w:sectPr>
          <w:pgSz w:w="11906" w:h="16838"/>
          <w:pgMar w:top="1757" w:right="1587" w:bottom="1757" w:left="1587" w:header="851" w:footer="992" w:gutter="0"/>
          <w:pgBorders>
            <w:top w:val="none" w:sz="0" w:space="0"/>
            <w:left w:val="none" w:sz="0" w:space="0"/>
            <w:bottom w:val="none" w:sz="0" w:space="0"/>
            <w:right w:val="none" w:sz="0" w:space="0"/>
          </w:pgBorders>
          <w:cols w:space="425" w:num="1"/>
          <w:docGrid w:type="lines" w:linePitch="312" w:charSpace="0"/>
        </w:sectPr>
      </w:pPr>
      <w:bookmarkStart w:id="1" w:name="_GoBack"/>
      <w:bookmarkEnd w:id="1"/>
    </w:p>
    <w:p w14:paraId="299C9EB9">
      <w:pPr>
        <w:pStyle w:val="3"/>
        <w:rPr>
          <w:rFonts w:hint="default"/>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624777"/>
    <w:rsid w:val="09C755B6"/>
    <w:rsid w:val="1AAC1E50"/>
    <w:rsid w:val="2A4D68E1"/>
    <w:rsid w:val="2B624777"/>
    <w:rsid w:val="2FE34ED2"/>
    <w:rsid w:val="452A22D2"/>
    <w:rsid w:val="52E141EC"/>
    <w:rsid w:val="58FC7549"/>
    <w:rsid w:val="65181009"/>
    <w:rsid w:val="680249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4"/>
    <w:basedOn w:val="1"/>
    <w:next w:val="1"/>
    <w:qFormat/>
    <w:uiPriority w:val="0"/>
    <w:pPr>
      <w:keepNext/>
      <w:keepLines/>
      <w:spacing w:before="120" w:after="120"/>
      <w:outlineLvl w:val="3"/>
    </w:pPr>
    <w:rPr>
      <w:rFonts w:ascii="Arial" w:hAnsi="Arial" w:eastAsia="黑体"/>
      <w:b/>
      <w:sz w:val="28"/>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rFonts w:ascii="楷体_GB2312" w:hAnsi="Arial" w:eastAsia="楷体_GB2312"/>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B7E8BD"/>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2843</Words>
  <Characters>2940</Characters>
  <Lines>0</Lines>
  <Paragraphs>0</Paragraphs>
  <TotalTime>0</TotalTime>
  <ScaleCrop>false</ScaleCrop>
  <LinksUpToDate>false</LinksUpToDate>
  <CharactersWithSpaces>2963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2026-09-22T08:19:00Z</dcterms:created>
  <dc:creator>sunqian</dc:creator>
  <cp:lastModifiedBy>莉莉律师</cp:lastModifiedBy>
  <dcterms:modified xsi:type="dcterms:W3CDTF">2026-10-13T09:36:31Z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4DE5363F294F4FCD851411D1F0A37828_13</vt:lpwstr>
  </property>
  <property fmtid="{D5CDD505-2E9C-101B-9397-08002B2CF9AE}" pid="4" name="KSOTemplateDocerSaveRecord">
    <vt:lpwstr>eyJoZGlkIjoiZmU0YzFjZjA3NDQ1Y2M0MjMxMTI2OTc1NWVmMmQ3ODgiLCJ1c2VySWQiOiI1MDMyMzgzODEifQ==</vt:lpwstr>
  </property>
</Properties>
</file>